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heme="minorEastAsia" w:hAnsiTheme="minorEastAsia" w:eastAsiaTheme="minorEastAsia" w:cstheme="minorEastAsia"/>
          <w:sz w:val="24"/>
          <w:szCs w:val="24"/>
          <w:lang w:eastAsia="zh-CN"/>
        </w:rPr>
      </w:pPr>
      <w:bookmarkStart w:id="0" w:name="_Toc511739395"/>
    </w:p>
    <w:p>
      <w:pPr>
        <w:rPr>
          <w:rFonts w:hint="eastAsia" w:asciiTheme="minorEastAsia" w:hAnsiTheme="minorEastAsia" w:eastAsiaTheme="minorEastAsia" w:cstheme="minorEastAsia"/>
          <w:sz w:val="24"/>
          <w:szCs w:val="24"/>
          <w:lang w:eastAsia="zh-CN"/>
        </w:rPr>
      </w:pPr>
    </w:p>
    <w:p>
      <w:pPr>
        <w:pStyle w:val="2"/>
        <w:spacing w:before="0" w:after="0" w:line="360" w:lineRule="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eastAsia="zh-CN"/>
        </w:rPr>
        <w:t>中共湖州市委党校电梯维保</w:t>
      </w:r>
      <w:bookmarkEnd w:id="0"/>
      <w:r>
        <w:rPr>
          <w:rFonts w:hint="eastAsia" w:asciiTheme="minorEastAsia" w:hAnsiTheme="minorEastAsia" w:eastAsiaTheme="minorEastAsia" w:cstheme="minorEastAsia"/>
          <w:sz w:val="32"/>
          <w:szCs w:val="32"/>
          <w:lang w:eastAsia="zh-CN"/>
        </w:rPr>
        <w:t>需求</w:t>
      </w:r>
    </w:p>
    <w:p>
      <w:pPr>
        <w:spacing w:line="400" w:lineRule="exact"/>
        <w:ind w:firstLine="480" w:firstLineChars="200"/>
        <w:jc w:val="left"/>
        <w:outlineLvl w:val="0"/>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sz w:val="24"/>
          <w:szCs w:val="24"/>
          <w:lang w:eastAsia="zh-CN"/>
        </w:rPr>
        <w:t>一</w:t>
      </w:r>
      <w:r>
        <w:rPr>
          <w:rFonts w:hint="eastAsia" w:asciiTheme="minorEastAsia" w:hAnsiTheme="minorEastAsia" w:eastAsiaTheme="minorEastAsia" w:cstheme="minorEastAsia"/>
          <w:b/>
          <w:bCs/>
          <w:sz w:val="24"/>
          <w:szCs w:val="24"/>
        </w:rPr>
        <w:t>、</w:t>
      </w:r>
      <w:r>
        <w:rPr>
          <w:rFonts w:hint="eastAsia" w:asciiTheme="minorEastAsia" w:hAnsiTheme="minorEastAsia" w:eastAsiaTheme="minorEastAsia" w:cstheme="minorEastAsia"/>
          <w:b/>
          <w:bCs/>
          <w:sz w:val="24"/>
          <w:szCs w:val="24"/>
          <w:lang w:eastAsia="zh-CN"/>
        </w:rPr>
        <w:t>维保范围</w:t>
      </w:r>
    </w:p>
    <w:tbl>
      <w:tblPr>
        <w:tblStyle w:val="10"/>
        <w:tblW w:w="86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1159"/>
        <w:gridCol w:w="2729"/>
        <w:gridCol w:w="890"/>
        <w:gridCol w:w="793"/>
        <w:gridCol w:w="1221"/>
        <w:gridCol w:w="1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691" w:type="dxa"/>
            <w:vAlign w:val="center"/>
          </w:tcPr>
          <w:p>
            <w:pPr>
              <w:adjustRightInd w:val="0"/>
              <w:snapToGrid w:val="0"/>
              <w:jc w:val="center"/>
              <w:rPr>
                <w:rFonts w:hint="eastAsia" w:asciiTheme="minorEastAsia" w:hAnsiTheme="minorEastAsia" w:eastAsiaTheme="minorEastAsia" w:cstheme="minorEastAsia"/>
                <w:sz w:val="24"/>
                <w:szCs w:val="24"/>
                <w:highlight w:val="yellow"/>
              </w:rPr>
            </w:pPr>
            <w:r>
              <w:rPr>
                <w:rFonts w:hint="eastAsia" w:asciiTheme="minorEastAsia" w:hAnsiTheme="minorEastAsia" w:eastAsiaTheme="minorEastAsia" w:cstheme="minorEastAsia"/>
                <w:sz w:val="24"/>
                <w:szCs w:val="24"/>
                <w:highlight w:val="none"/>
              </w:rPr>
              <w:t>序号</w:t>
            </w:r>
          </w:p>
        </w:tc>
        <w:tc>
          <w:tcPr>
            <w:tcW w:w="1159" w:type="dxa"/>
            <w:vAlign w:val="center"/>
          </w:tcPr>
          <w:p>
            <w:pPr>
              <w:adjustRightInd w:val="0"/>
              <w:snapToGrid w:val="0"/>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电梯</w:t>
            </w:r>
          </w:p>
          <w:p>
            <w:pPr>
              <w:adjustRightInd w:val="0"/>
              <w:snapToGrid w:val="0"/>
              <w:jc w:val="center"/>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rPr>
              <w:t>品牌</w:t>
            </w:r>
          </w:p>
        </w:tc>
        <w:tc>
          <w:tcPr>
            <w:tcW w:w="2729" w:type="dxa"/>
            <w:vAlign w:val="center"/>
          </w:tcPr>
          <w:p>
            <w:pPr>
              <w:adjustRightInd w:val="0"/>
              <w:snapToGrid w:val="0"/>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型号及规格</w:t>
            </w:r>
          </w:p>
        </w:tc>
        <w:tc>
          <w:tcPr>
            <w:tcW w:w="890" w:type="dxa"/>
            <w:vAlign w:val="center"/>
          </w:tcPr>
          <w:p>
            <w:pPr>
              <w:adjustRightInd w:val="0"/>
              <w:snapToGrid w:val="0"/>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电梯</w:t>
            </w:r>
          </w:p>
          <w:p>
            <w:pPr>
              <w:adjustRightInd w:val="0"/>
              <w:snapToGrid w:val="0"/>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性质</w:t>
            </w:r>
          </w:p>
        </w:tc>
        <w:tc>
          <w:tcPr>
            <w:tcW w:w="793" w:type="dxa"/>
            <w:vAlign w:val="center"/>
          </w:tcPr>
          <w:p>
            <w:pPr>
              <w:adjustRightInd w:val="0"/>
              <w:snapToGrid w:val="0"/>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数量</w:t>
            </w:r>
          </w:p>
        </w:tc>
        <w:tc>
          <w:tcPr>
            <w:tcW w:w="1221" w:type="dxa"/>
            <w:vAlign w:val="center"/>
          </w:tcPr>
          <w:p>
            <w:pPr>
              <w:adjustRightInd w:val="0"/>
              <w:snapToGrid w:val="0"/>
              <w:jc w:val="center"/>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rPr>
              <w:t>保养期限</w:t>
            </w:r>
          </w:p>
        </w:tc>
        <w:tc>
          <w:tcPr>
            <w:tcW w:w="1215" w:type="dxa"/>
            <w:vAlign w:val="center"/>
          </w:tcPr>
          <w:p>
            <w:pPr>
              <w:adjustRightInd w:val="0"/>
              <w:snapToGrid w:val="0"/>
              <w:jc w:val="center"/>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lang w:eastAsia="zh-CN"/>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691" w:type="dxa"/>
            <w:vAlign w:val="center"/>
          </w:tcPr>
          <w:p>
            <w:pPr>
              <w:adjustRightInd w:val="0"/>
              <w:snapToGrid w:val="0"/>
              <w:jc w:val="center"/>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lang w:eastAsia="zh-CN"/>
              </w:rPr>
              <w:t>1</w:t>
            </w:r>
          </w:p>
        </w:tc>
        <w:tc>
          <w:tcPr>
            <w:tcW w:w="1159" w:type="dxa"/>
            <w:vAlign w:val="center"/>
          </w:tcPr>
          <w:p>
            <w:pPr>
              <w:adjustRightInd w:val="0"/>
              <w:snapToGrid w:val="0"/>
              <w:jc w:val="center"/>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日立</w:t>
            </w:r>
          </w:p>
        </w:tc>
        <w:tc>
          <w:tcPr>
            <w:tcW w:w="2729" w:type="dxa"/>
            <w:vAlign w:val="center"/>
          </w:tcPr>
          <w:p>
            <w:pPr>
              <w:adjustRightInd w:val="0"/>
              <w:snapToGrid w:val="0"/>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额定速度/载重/层站数</w:t>
            </w:r>
          </w:p>
          <w:p>
            <w:pPr>
              <w:adjustRightInd w:val="0"/>
              <w:snapToGrid w:val="0"/>
              <w:jc w:val="center"/>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rPr>
              <w:t>1.</w:t>
            </w:r>
            <w:r>
              <w:rPr>
                <w:rFonts w:hint="eastAsia" w:asciiTheme="minorEastAsia" w:hAnsiTheme="minorEastAsia" w:eastAsiaTheme="minorEastAsia" w:cstheme="minorEastAsia"/>
                <w:sz w:val="24"/>
                <w:szCs w:val="24"/>
                <w:highlight w:val="none"/>
                <w:lang w:val="en-US" w:eastAsia="zh-CN"/>
              </w:rPr>
              <w:t>5</w:t>
            </w:r>
            <w:r>
              <w:rPr>
                <w:rFonts w:hint="eastAsia" w:asciiTheme="minorEastAsia" w:hAnsiTheme="minorEastAsia" w:eastAsiaTheme="minorEastAsia" w:cstheme="minorEastAsia"/>
                <w:sz w:val="24"/>
                <w:szCs w:val="24"/>
                <w:highlight w:val="none"/>
              </w:rPr>
              <w:t>/10</w:t>
            </w:r>
            <w:r>
              <w:rPr>
                <w:rFonts w:hint="eastAsia" w:asciiTheme="minorEastAsia" w:hAnsiTheme="minorEastAsia" w:eastAsiaTheme="minorEastAsia" w:cstheme="minorEastAsia"/>
                <w:sz w:val="24"/>
                <w:szCs w:val="24"/>
                <w:highlight w:val="none"/>
                <w:lang w:val="en-US" w:eastAsia="zh-CN"/>
              </w:rPr>
              <w:t>5</w:t>
            </w:r>
            <w:r>
              <w:rPr>
                <w:rFonts w:hint="eastAsia" w:asciiTheme="minorEastAsia" w:hAnsiTheme="minorEastAsia" w:eastAsiaTheme="minorEastAsia" w:cstheme="minorEastAsia"/>
                <w:sz w:val="24"/>
                <w:szCs w:val="24"/>
                <w:highlight w:val="none"/>
              </w:rPr>
              <w:t>0/</w:t>
            </w:r>
            <w:r>
              <w:rPr>
                <w:rFonts w:hint="eastAsia" w:asciiTheme="minorEastAsia" w:hAnsiTheme="minorEastAsia" w:eastAsiaTheme="minorEastAsia" w:cstheme="minorEastAsia"/>
                <w:sz w:val="24"/>
                <w:szCs w:val="24"/>
                <w:highlight w:val="none"/>
                <w:lang w:val="en-US" w:eastAsia="zh-CN"/>
              </w:rPr>
              <w:t>7</w:t>
            </w:r>
          </w:p>
        </w:tc>
        <w:tc>
          <w:tcPr>
            <w:tcW w:w="890" w:type="dxa"/>
            <w:vAlign w:val="center"/>
          </w:tcPr>
          <w:p>
            <w:pPr>
              <w:adjustRightInd w:val="0"/>
              <w:snapToGrid w:val="0"/>
              <w:jc w:val="center"/>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rPr>
              <w:t>乘客电梯</w:t>
            </w:r>
          </w:p>
        </w:tc>
        <w:tc>
          <w:tcPr>
            <w:tcW w:w="793" w:type="dxa"/>
            <w:vAlign w:val="center"/>
          </w:tcPr>
          <w:p>
            <w:pPr>
              <w:adjustRightInd w:val="0"/>
              <w:snapToGrid w:val="0"/>
              <w:jc w:val="center"/>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1</w:t>
            </w:r>
          </w:p>
        </w:tc>
        <w:tc>
          <w:tcPr>
            <w:tcW w:w="1221" w:type="dxa"/>
            <w:vAlign w:val="center"/>
          </w:tcPr>
          <w:p>
            <w:pPr>
              <w:adjustRightInd w:val="0"/>
              <w:snapToGrid w:val="0"/>
              <w:jc w:val="center"/>
              <w:rPr>
                <w:rFonts w:hint="default"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24个月</w:t>
            </w:r>
          </w:p>
        </w:tc>
        <w:tc>
          <w:tcPr>
            <w:tcW w:w="1215" w:type="dxa"/>
            <w:vAlign w:val="center"/>
          </w:tcPr>
          <w:p>
            <w:pPr>
              <w:adjustRightInd w:val="0"/>
              <w:snapToGrid w:val="0"/>
              <w:jc w:val="center"/>
              <w:rPr>
                <w:rFonts w:hint="default" w:asciiTheme="minorEastAsia" w:hAnsiTheme="minorEastAsia" w:eastAsiaTheme="minorEastAsia" w:cstheme="minorEastAsia"/>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691" w:type="dxa"/>
            <w:vAlign w:val="center"/>
          </w:tcPr>
          <w:p>
            <w:pPr>
              <w:adjustRightInd w:val="0"/>
              <w:snapToGrid w:val="0"/>
              <w:jc w:val="center"/>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lang w:eastAsia="zh-CN"/>
              </w:rPr>
              <w:t>2</w:t>
            </w:r>
          </w:p>
        </w:tc>
        <w:tc>
          <w:tcPr>
            <w:tcW w:w="1159" w:type="dxa"/>
            <w:vAlign w:val="center"/>
          </w:tcPr>
          <w:p>
            <w:pPr>
              <w:adjustRightInd w:val="0"/>
              <w:snapToGrid w:val="0"/>
              <w:jc w:val="center"/>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日立</w:t>
            </w:r>
          </w:p>
        </w:tc>
        <w:tc>
          <w:tcPr>
            <w:tcW w:w="2729" w:type="dxa"/>
            <w:vAlign w:val="center"/>
          </w:tcPr>
          <w:p>
            <w:pPr>
              <w:adjustRightInd w:val="0"/>
              <w:snapToGrid w:val="0"/>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额定速度/载重/层站数</w:t>
            </w:r>
          </w:p>
          <w:p>
            <w:pPr>
              <w:adjustRightInd w:val="0"/>
              <w:snapToGrid w:val="0"/>
              <w:jc w:val="center"/>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rPr>
              <w:t>1.</w:t>
            </w:r>
            <w:r>
              <w:rPr>
                <w:rFonts w:hint="eastAsia" w:asciiTheme="minorEastAsia" w:hAnsiTheme="minorEastAsia" w:eastAsiaTheme="minorEastAsia" w:cstheme="minorEastAsia"/>
                <w:sz w:val="24"/>
                <w:szCs w:val="24"/>
                <w:highlight w:val="none"/>
                <w:lang w:val="en-US" w:eastAsia="zh-CN"/>
              </w:rPr>
              <w:t>5</w:t>
            </w:r>
            <w:r>
              <w:rPr>
                <w:rFonts w:hint="eastAsia" w:asciiTheme="minorEastAsia" w:hAnsiTheme="minorEastAsia" w:eastAsiaTheme="minorEastAsia" w:cstheme="minorEastAsia"/>
                <w:sz w:val="24"/>
                <w:szCs w:val="24"/>
                <w:highlight w:val="none"/>
              </w:rPr>
              <w:t>/10</w:t>
            </w:r>
            <w:r>
              <w:rPr>
                <w:rFonts w:hint="eastAsia" w:asciiTheme="minorEastAsia" w:hAnsiTheme="minorEastAsia" w:eastAsiaTheme="minorEastAsia" w:cstheme="minorEastAsia"/>
                <w:sz w:val="24"/>
                <w:szCs w:val="24"/>
                <w:highlight w:val="none"/>
                <w:lang w:val="en-US" w:eastAsia="zh-CN"/>
              </w:rPr>
              <w:t>5</w:t>
            </w:r>
            <w:r>
              <w:rPr>
                <w:rFonts w:hint="eastAsia" w:asciiTheme="minorEastAsia" w:hAnsiTheme="minorEastAsia" w:eastAsiaTheme="minorEastAsia" w:cstheme="minorEastAsia"/>
                <w:sz w:val="24"/>
                <w:szCs w:val="24"/>
                <w:highlight w:val="none"/>
              </w:rPr>
              <w:t>0/</w:t>
            </w:r>
            <w:r>
              <w:rPr>
                <w:rFonts w:hint="eastAsia" w:asciiTheme="minorEastAsia" w:hAnsiTheme="minorEastAsia" w:eastAsiaTheme="minorEastAsia" w:cstheme="minorEastAsia"/>
                <w:sz w:val="24"/>
                <w:szCs w:val="24"/>
                <w:highlight w:val="none"/>
                <w:lang w:val="en-US" w:eastAsia="zh-CN"/>
              </w:rPr>
              <w:t>7</w:t>
            </w:r>
          </w:p>
        </w:tc>
        <w:tc>
          <w:tcPr>
            <w:tcW w:w="890" w:type="dxa"/>
            <w:vAlign w:val="center"/>
          </w:tcPr>
          <w:p>
            <w:pPr>
              <w:adjustRightInd w:val="0"/>
              <w:snapToGrid w:val="0"/>
              <w:jc w:val="center"/>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rPr>
              <w:t>乘客电梯</w:t>
            </w:r>
          </w:p>
        </w:tc>
        <w:tc>
          <w:tcPr>
            <w:tcW w:w="793" w:type="dxa"/>
            <w:vAlign w:val="center"/>
          </w:tcPr>
          <w:p>
            <w:pPr>
              <w:adjustRightInd w:val="0"/>
              <w:snapToGrid w:val="0"/>
              <w:jc w:val="center"/>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1</w:t>
            </w:r>
          </w:p>
        </w:tc>
        <w:tc>
          <w:tcPr>
            <w:tcW w:w="1221" w:type="dxa"/>
            <w:vAlign w:val="center"/>
          </w:tcPr>
          <w:p>
            <w:pPr>
              <w:adjustRightInd w:val="0"/>
              <w:snapToGrid w:val="0"/>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24个月</w:t>
            </w:r>
          </w:p>
        </w:tc>
        <w:tc>
          <w:tcPr>
            <w:tcW w:w="1215" w:type="dxa"/>
            <w:vAlign w:val="center"/>
          </w:tcPr>
          <w:p>
            <w:pPr>
              <w:adjustRightInd w:val="0"/>
              <w:snapToGrid w:val="0"/>
              <w:jc w:val="center"/>
              <w:rPr>
                <w:rFonts w:hint="eastAsia" w:asciiTheme="minorEastAsia" w:hAnsiTheme="minorEastAsia" w:eastAsiaTheme="minorEastAsia" w:cstheme="minorEastAsia"/>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691" w:type="dxa"/>
            <w:vAlign w:val="center"/>
          </w:tcPr>
          <w:p>
            <w:pPr>
              <w:adjustRightInd w:val="0"/>
              <w:snapToGrid w:val="0"/>
              <w:jc w:val="center"/>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eastAsia="zh-CN"/>
              </w:rPr>
              <w:t>3</w:t>
            </w:r>
          </w:p>
        </w:tc>
        <w:tc>
          <w:tcPr>
            <w:tcW w:w="1159" w:type="dxa"/>
            <w:vAlign w:val="center"/>
          </w:tcPr>
          <w:p>
            <w:pPr>
              <w:adjustRightInd w:val="0"/>
              <w:snapToGrid w:val="0"/>
              <w:jc w:val="center"/>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日立</w:t>
            </w:r>
          </w:p>
        </w:tc>
        <w:tc>
          <w:tcPr>
            <w:tcW w:w="2729" w:type="dxa"/>
            <w:vAlign w:val="center"/>
          </w:tcPr>
          <w:p>
            <w:pPr>
              <w:adjustRightInd w:val="0"/>
              <w:snapToGrid w:val="0"/>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额定速度/载重/层站数</w:t>
            </w:r>
          </w:p>
          <w:p>
            <w:pPr>
              <w:adjustRightInd w:val="0"/>
              <w:snapToGrid w:val="0"/>
              <w:jc w:val="center"/>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rPr>
              <w:t>1.</w:t>
            </w:r>
            <w:r>
              <w:rPr>
                <w:rFonts w:hint="eastAsia" w:asciiTheme="minorEastAsia" w:hAnsiTheme="minorEastAsia" w:eastAsiaTheme="minorEastAsia" w:cstheme="minorEastAsia"/>
                <w:sz w:val="24"/>
                <w:szCs w:val="24"/>
                <w:highlight w:val="none"/>
                <w:lang w:val="en-US" w:eastAsia="zh-CN"/>
              </w:rPr>
              <w:t>5</w:t>
            </w:r>
            <w:r>
              <w:rPr>
                <w:rFonts w:hint="eastAsia" w:asciiTheme="minorEastAsia" w:hAnsiTheme="minorEastAsia" w:eastAsiaTheme="minorEastAsia" w:cstheme="minorEastAsia"/>
                <w:sz w:val="24"/>
                <w:szCs w:val="24"/>
                <w:highlight w:val="none"/>
              </w:rPr>
              <w:t>/10</w:t>
            </w:r>
            <w:r>
              <w:rPr>
                <w:rFonts w:hint="eastAsia" w:asciiTheme="minorEastAsia" w:hAnsiTheme="minorEastAsia" w:eastAsiaTheme="minorEastAsia" w:cstheme="minorEastAsia"/>
                <w:sz w:val="24"/>
                <w:szCs w:val="24"/>
                <w:highlight w:val="none"/>
                <w:lang w:val="en-US" w:eastAsia="zh-CN"/>
              </w:rPr>
              <w:t>5</w:t>
            </w:r>
            <w:r>
              <w:rPr>
                <w:rFonts w:hint="eastAsia" w:asciiTheme="minorEastAsia" w:hAnsiTheme="minorEastAsia" w:eastAsiaTheme="minorEastAsia" w:cstheme="minorEastAsia"/>
                <w:sz w:val="24"/>
                <w:szCs w:val="24"/>
                <w:highlight w:val="none"/>
              </w:rPr>
              <w:t>0/</w:t>
            </w:r>
            <w:r>
              <w:rPr>
                <w:rFonts w:hint="eastAsia" w:asciiTheme="minorEastAsia" w:hAnsiTheme="minorEastAsia" w:eastAsiaTheme="minorEastAsia" w:cstheme="minorEastAsia"/>
                <w:sz w:val="24"/>
                <w:szCs w:val="24"/>
                <w:highlight w:val="none"/>
                <w:lang w:val="en-US" w:eastAsia="zh-CN"/>
              </w:rPr>
              <w:t>5</w:t>
            </w:r>
          </w:p>
        </w:tc>
        <w:tc>
          <w:tcPr>
            <w:tcW w:w="890" w:type="dxa"/>
            <w:vAlign w:val="center"/>
          </w:tcPr>
          <w:p>
            <w:pPr>
              <w:adjustRightInd w:val="0"/>
              <w:snapToGrid w:val="0"/>
              <w:jc w:val="center"/>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rPr>
              <w:t>乘客电梯</w:t>
            </w:r>
          </w:p>
        </w:tc>
        <w:tc>
          <w:tcPr>
            <w:tcW w:w="793" w:type="dxa"/>
            <w:vAlign w:val="center"/>
          </w:tcPr>
          <w:p>
            <w:pPr>
              <w:adjustRightInd w:val="0"/>
              <w:snapToGrid w:val="0"/>
              <w:jc w:val="center"/>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1</w:t>
            </w:r>
          </w:p>
        </w:tc>
        <w:tc>
          <w:tcPr>
            <w:tcW w:w="1221" w:type="dxa"/>
            <w:vAlign w:val="center"/>
          </w:tcPr>
          <w:p>
            <w:pPr>
              <w:adjustRightInd w:val="0"/>
              <w:snapToGrid w:val="0"/>
              <w:jc w:val="center"/>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24个月</w:t>
            </w:r>
          </w:p>
        </w:tc>
        <w:tc>
          <w:tcPr>
            <w:tcW w:w="1215" w:type="dxa"/>
            <w:vAlign w:val="center"/>
          </w:tcPr>
          <w:p>
            <w:pPr>
              <w:adjustRightInd w:val="0"/>
              <w:snapToGrid w:val="0"/>
              <w:jc w:val="center"/>
              <w:rPr>
                <w:rFonts w:hint="eastAsia" w:asciiTheme="minorEastAsia" w:hAnsiTheme="minorEastAsia" w:eastAsiaTheme="minorEastAsia" w:cstheme="minorEastAsia"/>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691" w:type="dxa"/>
            <w:vAlign w:val="center"/>
          </w:tcPr>
          <w:p>
            <w:pPr>
              <w:adjustRightInd w:val="0"/>
              <w:snapToGrid w:val="0"/>
              <w:jc w:val="center"/>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eastAsia="zh-CN"/>
              </w:rPr>
              <w:t>4</w:t>
            </w:r>
          </w:p>
        </w:tc>
        <w:tc>
          <w:tcPr>
            <w:tcW w:w="1159" w:type="dxa"/>
            <w:vAlign w:val="center"/>
          </w:tcPr>
          <w:p>
            <w:pPr>
              <w:adjustRightInd w:val="0"/>
              <w:snapToGrid w:val="0"/>
              <w:jc w:val="center"/>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日立</w:t>
            </w:r>
          </w:p>
        </w:tc>
        <w:tc>
          <w:tcPr>
            <w:tcW w:w="2729" w:type="dxa"/>
            <w:vAlign w:val="center"/>
          </w:tcPr>
          <w:p>
            <w:pPr>
              <w:adjustRightInd w:val="0"/>
              <w:snapToGrid w:val="0"/>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额定速度/载重/层站数</w:t>
            </w:r>
          </w:p>
          <w:p>
            <w:pPr>
              <w:adjustRightInd w:val="0"/>
              <w:snapToGrid w:val="0"/>
              <w:jc w:val="center"/>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rPr>
              <w:t>1.0/10</w:t>
            </w:r>
            <w:r>
              <w:rPr>
                <w:rFonts w:hint="eastAsia" w:asciiTheme="minorEastAsia" w:hAnsiTheme="minorEastAsia" w:eastAsiaTheme="minorEastAsia" w:cstheme="minorEastAsia"/>
                <w:sz w:val="24"/>
                <w:szCs w:val="24"/>
                <w:highlight w:val="none"/>
                <w:lang w:val="en-US" w:eastAsia="zh-CN"/>
              </w:rPr>
              <w:t>5</w:t>
            </w:r>
            <w:r>
              <w:rPr>
                <w:rFonts w:hint="eastAsia" w:asciiTheme="minorEastAsia" w:hAnsiTheme="minorEastAsia" w:eastAsiaTheme="minorEastAsia" w:cstheme="minorEastAsia"/>
                <w:sz w:val="24"/>
                <w:szCs w:val="24"/>
                <w:highlight w:val="none"/>
              </w:rPr>
              <w:t>0/</w:t>
            </w:r>
            <w:r>
              <w:rPr>
                <w:rFonts w:hint="eastAsia" w:asciiTheme="minorEastAsia" w:hAnsiTheme="minorEastAsia" w:eastAsiaTheme="minorEastAsia" w:cstheme="minorEastAsia"/>
                <w:sz w:val="24"/>
                <w:szCs w:val="24"/>
                <w:highlight w:val="none"/>
                <w:lang w:val="en-US" w:eastAsia="zh-CN"/>
              </w:rPr>
              <w:t>2</w:t>
            </w:r>
          </w:p>
        </w:tc>
        <w:tc>
          <w:tcPr>
            <w:tcW w:w="890" w:type="dxa"/>
            <w:vAlign w:val="center"/>
          </w:tcPr>
          <w:p>
            <w:pPr>
              <w:adjustRightInd w:val="0"/>
              <w:snapToGrid w:val="0"/>
              <w:jc w:val="center"/>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rPr>
              <w:t>乘客电梯</w:t>
            </w:r>
          </w:p>
        </w:tc>
        <w:tc>
          <w:tcPr>
            <w:tcW w:w="793" w:type="dxa"/>
            <w:vAlign w:val="center"/>
          </w:tcPr>
          <w:p>
            <w:pPr>
              <w:adjustRightInd w:val="0"/>
              <w:snapToGrid w:val="0"/>
              <w:jc w:val="center"/>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1</w:t>
            </w:r>
          </w:p>
        </w:tc>
        <w:tc>
          <w:tcPr>
            <w:tcW w:w="1221" w:type="dxa"/>
            <w:vAlign w:val="center"/>
          </w:tcPr>
          <w:p>
            <w:pPr>
              <w:adjustRightInd w:val="0"/>
              <w:snapToGrid w:val="0"/>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24个月</w:t>
            </w:r>
          </w:p>
        </w:tc>
        <w:tc>
          <w:tcPr>
            <w:tcW w:w="1215" w:type="dxa"/>
            <w:vAlign w:val="center"/>
          </w:tcPr>
          <w:p>
            <w:pPr>
              <w:adjustRightInd w:val="0"/>
              <w:snapToGrid w:val="0"/>
              <w:jc w:val="center"/>
              <w:rPr>
                <w:rFonts w:hint="eastAsia" w:asciiTheme="minorEastAsia" w:hAnsiTheme="minorEastAsia" w:eastAsiaTheme="minorEastAsia" w:cstheme="minorEastAsia"/>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691" w:type="dxa"/>
            <w:vAlign w:val="center"/>
          </w:tcPr>
          <w:p>
            <w:pPr>
              <w:adjustRightInd w:val="0"/>
              <w:snapToGrid w:val="0"/>
              <w:jc w:val="center"/>
              <w:rPr>
                <w:rFonts w:hint="default"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5</w:t>
            </w:r>
          </w:p>
        </w:tc>
        <w:tc>
          <w:tcPr>
            <w:tcW w:w="1159" w:type="dxa"/>
            <w:vAlign w:val="center"/>
          </w:tcPr>
          <w:p>
            <w:pPr>
              <w:adjustRightInd w:val="0"/>
              <w:snapToGrid w:val="0"/>
              <w:jc w:val="center"/>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eastAsia="zh-CN"/>
              </w:rPr>
              <w:t>沃克斯</w:t>
            </w:r>
          </w:p>
        </w:tc>
        <w:tc>
          <w:tcPr>
            <w:tcW w:w="2729" w:type="dxa"/>
            <w:vAlign w:val="center"/>
          </w:tcPr>
          <w:p>
            <w:pPr>
              <w:adjustRightInd w:val="0"/>
              <w:snapToGrid w:val="0"/>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额定速度/载重/层站数</w:t>
            </w:r>
          </w:p>
          <w:p>
            <w:pPr>
              <w:adjustRightInd w:val="0"/>
              <w:snapToGrid w:val="0"/>
              <w:jc w:val="center"/>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0.4</w:t>
            </w:r>
            <w:r>
              <w:rPr>
                <w:rFonts w:hint="eastAsia" w:asciiTheme="minorEastAsia" w:hAnsiTheme="minorEastAsia" w:eastAsiaTheme="minorEastAsia" w:cstheme="minorEastAsia"/>
                <w:sz w:val="24"/>
                <w:szCs w:val="24"/>
                <w:highlight w:val="none"/>
              </w:rPr>
              <w:t>/</w:t>
            </w:r>
            <w:r>
              <w:rPr>
                <w:rFonts w:hint="eastAsia" w:asciiTheme="minorEastAsia" w:hAnsiTheme="minorEastAsia" w:eastAsiaTheme="minorEastAsia" w:cstheme="minorEastAsia"/>
                <w:sz w:val="24"/>
                <w:szCs w:val="24"/>
                <w:highlight w:val="none"/>
                <w:lang w:val="en-US" w:eastAsia="zh-CN"/>
              </w:rPr>
              <w:t>2</w:t>
            </w:r>
            <w:r>
              <w:rPr>
                <w:rFonts w:hint="eastAsia" w:asciiTheme="minorEastAsia" w:hAnsiTheme="minorEastAsia" w:eastAsiaTheme="minorEastAsia" w:cstheme="minorEastAsia"/>
                <w:sz w:val="24"/>
                <w:szCs w:val="24"/>
                <w:highlight w:val="none"/>
              </w:rPr>
              <w:t>00/2</w:t>
            </w:r>
          </w:p>
        </w:tc>
        <w:tc>
          <w:tcPr>
            <w:tcW w:w="890" w:type="dxa"/>
            <w:vAlign w:val="center"/>
          </w:tcPr>
          <w:p>
            <w:pPr>
              <w:adjustRightInd w:val="0"/>
              <w:snapToGrid w:val="0"/>
              <w:jc w:val="center"/>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eastAsia="zh-CN"/>
              </w:rPr>
              <w:t>杂物梯</w:t>
            </w:r>
          </w:p>
        </w:tc>
        <w:tc>
          <w:tcPr>
            <w:tcW w:w="793" w:type="dxa"/>
            <w:vAlign w:val="center"/>
          </w:tcPr>
          <w:p>
            <w:pPr>
              <w:adjustRightInd w:val="0"/>
              <w:snapToGrid w:val="0"/>
              <w:jc w:val="center"/>
              <w:rPr>
                <w:rFonts w:hint="default"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1</w:t>
            </w:r>
          </w:p>
        </w:tc>
        <w:tc>
          <w:tcPr>
            <w:tcW w:w="1221" w:type="dxa"/>
            <w:vAlign w:val="center"/>
          </w:tcPr>
          <w:p>
            <w:pPr>
              <w:adjustRightInd w:val="0"/>
              <w:snapToGrid w:val="0"/>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24个月</w:t>
            </w:r>
          </w:p>
        </w:tc>
        <w:tc>
          <w:tcPr>
            <w:tcW w:w="1215" w:type="dxa"/>
            <w:vAlign w:val="center"/>
          </w:tcPr>
          <w:p>
            <w:pPr>
              <w:adjustRightInd w:val="0"/>
              <w:snapToGrid w:val="0"/>
              <w:jc w:val="center"/>
              <w:rPr>
                <w:rFonts w:hint="eastAsia" w:asciiTheme="minorEastAsia" w:hAnsiTheme="minorEastAsia" w:eastAsiaTheme="minorEastAsia" w:cstheme="minorEastAsia"/>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691" w:type="dxa"/>
            <w:vAlign w:val="center"/>
          </w:tcPr>
          <w:p>
            <w:pPr>
              <w:adjustRightInd w:val="0"/>
              <w:snapToGrid w:val="0"/>
              <w:jc w:val="center"/>
              <w:rPr>
                <w:rFonts w:hint="default"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6</w:t>
            </w:r>
          </w:p>
        </w:tc>
        <w:tc>
          <w:tcPr>
            <w:tcW w:w="1159" w:type="dxa"/>
            <w:vAlign w:val="center"/>
          </w:tcPr>
          <w:p>
            <w:pPr>
              <w:adjustRightInd w:val="0"/>
              <w:snapToGrid w:val="0"/>
              <w:jc w:val="center"/>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eastAsia="zh-CN"/>
              </w:rPr>
              <w:t>沃克斯</w:t>
            </w:r>
          </w:p>
        </w:tc>
        <w:tc>
          <w:tcPr>
            <w:tcW w:w="2729" w:type="dxa"/>
            <w:vAlign w:val="center"/>
          </w:tcPr>
          <w:p>
            <w:pPr>
              <w:adjustRightInd w:val="0"/>
              <w:snapToGrid w:val="0"/>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额定速度/载重/层站数</w:t>
            </w:r>
          </w:p>
          <w:p>
            <w:pPr>
              <w:adjustRightInd w:val="0"/>
              <w:snapToGrid w:val="0"/>
              <w:jc w:val="center"/>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0.4</w:t>
            </w:r>
            <w:r>
              <w:rPr>
                <w:rFonts w:hint="eastAsia" w:asciiTheme="minorEastAsia" w:hAnsiTheme="minorEastAsia" w:eastAsiaTheme="minorEastAsia" w:cstheme="minorEastAsia"/>
                <w:sz w:val="24"/>
                <w:szCs w:val="24"/>
                <w:highlight w:val="none"/>
              </w:rPr>
              <w:t>/</w:t>
            </w:r>
            <w:r>
              <w:rPr>
                <w:rFonts w:hint="eastAsia" w:asciiTheme="minorEastAsia" w:hAnsiTheme="minorEastAsia" w:eastAsiaTheme="minorEastAsia" w:cstheme="minorEastAsia"/>
                <w:sz w:val="24"/>
                <w:szCs w:val="24"/>
                <w:highlight w:val="none"/>
                <w:lang w:val="en-US" w:eastAsia="zh-CN"/>
              </w:rPr>
              <w:t>2</w:t>
            </w:r>
            <w:r>
              <w:rPr>
                <w:rFonts w:hint="eastAsia" w:asciiTheme="minorEastAsia" w:hAnsiTheme="minorEastAsia" w:eastAsiaTheme="minorEastAsia" w:cstheme="minorEastAsia"/>
                <w:sz w:val="24"/>
                <w:szCs w:val="24"/>
                <w:highlight w:val="none"/>
              </w:rPr>
              <w:t>00/2</w:t>
            </w:r>
          </w:p>
        </w:tc>
        <w:tc>
          <w:tcPr>
            <w:tcW w:w="890" w:type="dxa"/>
            <w:vAlign w:val="center"/>
          </w:tcPr>
          <w:p>
            <w:pPr>
              <w:adjustRightInd w:val="0"/>
              <w:snapToGrid w:val="0"/>
              <w:jc w:val="center"/>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eastAsia="zh-CN"/>
              </w:rPr>
              <w:t>杂</w:t>
            </w:r>
            <w:r>
              <w:rPr>
                <w:rFonts w:hint="eastAsia" w:asciiTheme="minorEastAsia" w:hAnsiTheme="minorEastAsia" w:eastAsiaTheme="minorEastAsia" w:cstheme="minorEastAsia"/>
                <w:sz w:val="24"/>
                <w:szCs w:val="24"/>
                <w:highlight w:val="none"/>
                <w:lang w:val="en-US" w:eastAsia="zh-CN"/>
              </w:rPr>
              <w:t>物梯</w:t>
            </w:r>
          </w:p>
        </w:tc>
        <w:tc>
          <w:tcPr>
            <w:tcW w:w="793" w:type="dxa"/>
            <w:vAlign w:val="center"/>
          </w:tcPr>
          <w:p>
            <w:pPr>
              <w:adjustRightInd w:val="0"/>
              <w:snapToGrid w:val="0"/>
              <w:jc w:val="center"/>
              <w:rPr>
                <w:rFonts w:hint="default"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1</w:t>
            </w:r>
          </w:p>
        </w:tc>
        <w:tc>
          <w:tcPr>
            <w:tcW w:w="1221" w:type="dxa"/>
            <w:vAlign w:val="center"/>
          </w:tcPr>
          <w:p>
            <w:pPr>
              <w:adjustRightInd w:val="0"/>
              <w:snapToGrid w:val="0"/>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24个月</w:t>
            </w:r>
          </w:p>
        </w:tc>
        <w:tc>
          <w:tcPr>
            <w:tcW w:w="1215" w:type="dxa"/>
            <w:vAlign w:val="center"/>
          </w:tcPr>
          <w:p>
            <w:pPr>
              <w:adjustRightInd w:val="0"/>
              <w:snapToGrid w:val="0"/>
              <w:jc w:val="center"/>
              <w:rPr>
                <w:rFonts w:hint="eastAsia" w:asciiTheme="minorEastAsia" w:hAnsiTheme="minorEastAsia" w:eastAsiaTheme="minorEastAsia" w:cstheme="minorEastAsia"/>
                <w:sz w:val="24"/>
                <w:szCs w:val="24"/>
                <w:highlight w:val="none"/>
                <w:lang w:val="en-US" w:eastAsia="zh-CN"/>
              </w:rPr>
            </w:pPr>
          </w:p>
        </w:tc>
      </w:tr>
    </w:tbl>
    <w:p>
      <w:pPr>
        <w:keepNext w:val="0"/>
        <w:keepLines w:val="0"/>
        <w:pageBreakBefore w:val="0"/>
        <w:kinsoku/>
        <w:wordWrap/>
        <w:overflowPunct/>
        <w:topLinePunct w:val="0"/>
        <w:autoSpaceDE/>
        <w:autoSpaceDN/>
        <w:bidi w:val="0"/>
        <w:adjustRightInd/>
        <w:snapToGrid/>
        <w:spacing w:line="440" w:lineRule="exact"/>
        <w:ind w:firstLine="481" w:firstLineChars="200"/>
        <w:jc w:val="left"/>
        <w:textAlignment w:val="auto"/>
        <w:outlineLvl w:val="0"/>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eastAsia="zh-CN"/>
        </w:rPr>
        <w:t>二、维保时间</w:t>
      </w:r>
    </w:p>
    <w:p>
      <w:pPr>
        <w:keepNext w:val="0"/>
        <w:keepLines w:val="0"/>
        <w:pageBreakBefore w:val="0"/>
        <w:kinsoku/>
        <w:wordWrap/>
        <w:overflowPunct/>
        <w:topLinePunct w:val="0"/>
        <w:autoSpaceDE/>
        <w:autoSpaceDN/>
        <w:bidi w:val="0"/>
        <w:adjustRightInd/>
        <w:snapToGrid/>
        <w:spacing w:line="440" w:lineRule="exact"/>
        <w:ind w:firstLine="481" w:firstLineChars="200"/>
        <w:jc w:val="left"/>
        <w:textAlignment w:val="auto"/>
        <w:outlineLvl w:val="0"/>
        <w:rPr>
          <w:rFonts w:hint="default"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u w:val="single"/>
          <w:lang w:val="en-US" w:eastAsia="zh-CN"/>
        </w:rPr>
        <w:t>2022</w:t>
      </w:r>
      <w:r>
        <w:rPr>
          <w:rFonts w:hint="eastAsia" w:asciiTheme="minorEastAsia" w:hAnsiTheme="minorEastAsia" w:eastAsiaTheme="minorEastAsia" w:cstheme="minorEastAsia"/>
          <w:b/>
          <w:bCs/>
          <w:sz w:val="24"/>
          <w:szCs w:val="24"/>
          <w:lang w:val="en-US" w:eastAsia="zh-CN"/>
        </w:rPr>
        <w:t>年</w:t>
      </w:r>
      <w:r>
        <w:rPr>
          <w:rFonts w:hint="eastAsia" w:asciiTheme="minorEastAsia" w:hAnsiTheme="minorEastAsia" w:eastAsiaTheme="minorEastAsia" w:cstheme="minorEastAsia"/>
          <w:b/>
          <w:bCs/>
          <w:sz w:val="24"/>
          <w:szCs w:val="24"/>
          <w:u w:val="single"/>
          <w:lang w:val="en-US" w:eastAsia="zh-CN"/>
        </w:rPr>
        <w:t>10</w:t>
      </w:r>
      <w:r>
        <w:rPr>
          <w:rFonts w:hint="eastAsia" w:asciiTheme="minorEastAsia" w:hAnsiTheme="minorEastAsia" w:eastAsiaTheme="minorEastAsia" w:cstheme="minorEastAsia"/>
          <w:b/>
          <w:bCs/>
          <w:sz w:val="24"/>
          <w:szCs w:val="24"/>
          <w:lang w:val="en-US" w:eastAsia="zh-CN"/>
        </w:rPr>
        <w:t>月</w:t>
      </w:r>
      <w:r>
        <w:rPr>
          <w:rFonts w:hint="eastAsia" w:asciiTheme="minorEastAsia" w:hAnsiTheme="minorEastAsia" w:eastAsiaTheme="minorEastAsia" w:cstheme="minorEastAsia"/>
          <w:b/>
          <w:bCs/>
          <w:sz w:val="24"/>
          <w:szCs w:val="24"/>
          <w:u w:val="single"/>
          <w:lang w:val="en-US" w:eastAsia="zh-CN"/>
        </w:rPr>
        <w:t>20</w:t>
      </w:r>
      <w:r>
        <w:rPr>
          <w:rFonts w:hint="eastAsia" w:asciiTheme="minorEastAsia" w:hAnsiTheme="minorEastAsia" w:eastAsiaTheme="minorEastAsia" w:cstheme="minorEastAsia"/>
          <w:b/>
          <w:bCs/>
          <w:sz w:val="24"/>
          <w:szCs w:val="24"/>
          <w:lang w:val="en-US" w:eastAsia="zh-CN"/>
        </w:rPr>
        <w:t>日至</w:t>
      </w:r>
      <w:r>
        <w:rPr>
          <w:rFonts w:hint="eastAsia" w:asciiTheme="minorEastAsia" w:hAnsiTheme="minorEastAsia" w:eastAsiaTheme="minorEastAsia" w:cstheme="minorEastAsia"/>
          <w:b/>
          <w:bCs/>
          <w:sz w:val="24"/>
          <w:szCs w:val="24"/>
          <w:u w:val="single"/>
          <w:lang w:val="en-US" w:eastAsia="zh-CN"/>
        </w:rPr>
        <w:t>2024</w:t>
      </w:r>
      <w:r>
        <w:rPr>
          <w:rFonts w:hint="eastAsia" w:asciiTheme="minorEastAsia" w:hAnsiTheme="minorEastAsia" w:eastAsiaTheme="minorEastAsia" w:cstheme="minorEastAsia"/>
          <w:b/>
          <w:bCs/>
          <w:sz w:val="24"/>
          <w:szCs w:val="24"/>
          <w:lang w:val="en-US" w:eastAsia="zh-CN"/>
        </w:rPr>
        <w:t>年</w:t>
      </w:r>
      <w:r>
        <w:rPr>
          <w:rFonts w:hint="eastAsia" w:asciiTheme="minorEastAsia" w:hAnsiTheme="minorEastAsia" w:eastAsiaTheme="minorEastAsia" w:cstheme="minorEastAsia"/>
          <w:b/>
          <w:bCs/>
          <w:sz w:val="24"/>
          <w:szCs w:val="24"/>
          <w:u w:val="single"/>
          <w:lang w:val="en-US" w:eastAsia="zh-CN"/>
        </w:rPr>
        <w:t>10</w:t>
      </w:r>
      <w:r>
        <w:rPr>
          <w:rFonts w:hint="eastAsia" w:asciiTheme="minorEastAsia" w:hAnsiTheme="minorEastAsia" w:eastAsiaTheme="minorEastAsia" w:cstheme="minorEastAsia"/>
          <w:b/>
          <w:bCs/>
          <w:sz w:val="24"/>
          <w:szCs w:val="24"/>
          <w:lang w:val="en-US" w:eastAsia="zh-CN"/>
        </w:rPr>
        <w:t>月</w:t>
      </w:r>
      <w:r>
        <w:rPr>
          <w:rFonts w:hint="eastAsia" w:asciiTheme="minorEastAsia" w:hAnsiTheme="minorEastAsia" w:eastAsiaTheme="minorEastAsia" w:cstheme="minorEastAsia"/>
          <w:b/>
          <w:bCs/>
          <w:sz w:val="24"/>
          <w:szCs w:val="24"/>
          <w:u w:val="single"/>
          <w:lang w:val="en-US" w:eastAsia="zh-CN"/>
        </w:rPr>
        <w:t>19</w:t>
      </w:r>
      <w:r>
        <w:rPr>
          <w:rFonts w:hint="eastAsia" w:asciiTheme="minorEastAsia" w:hAnsiTheme="minorEastAsia" w:eastAsiaTheme="minorEastAsia" w:cstheme="minorEastAsia"/>
          <w:b/>
          <w:bCs/>
          <w:sz w:val="24"/>
          <w:szCs w:val="24"/>
          <w:lang w:val="en-US" w:eastAsia="zh-CN"/>
        </w:rPr>
        <w:t>日</w:t>
      </w:r>
    </w:p>
    <w:p>
      <w:pPr>
        <w:keepNext w:val="0"/>
        <w:keepLines w:val="0"/>
        <w:pageBreakBefore w:val="0"/>
        <w:kinsoku/>
        <w:wordWrap/>
        <w:overflowPunct/>
        <w:topLinePunct w:val="0"/>
        <w:autoSpaceDE/>
        <w:autoSpaceDN/>
        <w:bidi w:val="0"/>
        <w:adjustRightInd/>
        <w:snapToGrid/>
        <w:spacing w:line="440" w:lineRule="exact"/>
        <w:ind w:firstLine="481" w:firstLineChars="200"/>
        <w:jc w:val="left"/>
        <w:textAlignment w:val="auto"/>
        <w:outlineLvl w:val="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eastAsia="zh-CN"/>
        </w:rPr>
        <w:t>三</w:t>
      </w:r>
      <w:r>
        <w:rPr>
          <w:rFonts w:hint="eastAsia" w:asciiTheme="minorEastAsia" w:hAnsiTheme="minorEastAsia" w:eastAsiaTheme="minorEastAsia" w:cstheme="minorEastAsia"/>
          <w:b/>
          <w:bCs/>
          <w:sz w:val="24"/>
          <w:szCs w:val="24"/>
        </w:rPr>
        <w:t>、服务要求：</w:t>
      </w:r>
    </w:p>
    <w:p>
      <w:pPr>
        <w:keepNext w:val="0"/>
        <w:keepLines w:val="0"/>
        <w:pageBreakBefore w:val="0"/>
        <w:widowControl/>
        <w:kinsoku/>
        <w:wordWrap/>
        <w:overflowPunct/>
        <w:topLinePunct w:val="0"/>
        <w:autoSpaceDE/>
        <w:autoSpaceDN/>
        <w:bidi w:val="0"/>
        <w:adjustRightInd/>
        <w:snapToGrid/>
        <w:spacing w:line="440" w:lineRule="exact"/>
        <w:ind w:firstLine="480"/>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1、电梯维修保养要符合《特种设备安全法》、《特种设备安全监察条例》、《中华人民共和国电梯制造与安装安全规范》（GB7588-2003）、《电梯维修规范》（GB/T18775-2002）、《电梯监督检验和定</w:t>
      </w:r>
      <w:bookmarkStart w:id="1" w:name="_GoBack"/>
      <w:bookmarkEnd w:id="1"/>
      <w:r>
        <w:rPr>
          <w:rFonts w:hint="eastAsia" w:asciiTheme="minorEastAsia" w:hAnsiTheme="minorEastAsia" w:eastAsiaTheme="minorEastAsia" w:cstheme="minorEastAsia"/>
          <w:kern w:val="0"/>
          <w:sz w:val="24"/>
          <w:szCs w:val="24"/>
        </w:rPr>
        <w:t>期检验规则》（TSG T7001-2009</w:t>
      </w:r>
      <w:r>
        <w:rPr>
          <w:rFonts w:hint="eastAsia" w:asciiTheme="minorEastAsia" w:hAnsiTheme="minorEastAsia" w:eastAsiaTheme="minorEastAsia" w:cstheme="minorEastAsia"/>
          <w:kern w:val="0"/>
          <w:sz w:val="24"/>
          <w:szCs w:val="24"/>
          <w:lang w:eastAsia="zh-CN"/>
        </w:rPr>
        <w:t>）、《电梯维护保养规则》（</w:t>
      </w:r>
      <w:r>
        <w:rPr>
          <w:rFonts w:hint="eastAsia" w:asciiTheme="minorEastAsia" w:hAnsiTheme="minorEastAsia" w:eastAsiaTheme="minorEastAsia" w:cstheme="minorEastAsia"/>
          <w:kern w:val="0"/>
          <w:sz w:val="24"/>
          <w:szCs w:val="24"/>
          <w:lang w:val="en-US" w:eastAsia="zh-CN"/>
        </w:rPr>
        <w:t>TSG T5002-2017)</w:t>
      </w:r>
      <w:r>
        <w:rPr>
          <w:rFonts w:hint="eastAsia" w:asciiTheme="minorEastAsia" w:hAnsiTheme="minorEastAsia" w:eastAsiaTheme="minorEastAsia" w:cstheme="minorEastAsia"/>
          <w:kern w:val="0"/>
          <w:sz w:val="24"/>
          <w:szCs w:val="24"/>
        </w:rPr>
        <w:t>等有关标准规定，按招标单位要求和投标单位承诺执行。</w:t>
      </w:r>
    </w:p>
    <w:p>
      <w:pPr>
        <w:keepNext w:val="0"/>
        <w:keepLines w:val="0"/>
        <w:pageBreakBefore w:val="0"/>
        <w:widowControl/>
        <w:kinsoku/>
        <w:wordWrap/>
        <w:overflowPunct/>
        <w:topLinePunct w:val="0"/>
        <w:autoSpaceDE/>
        <w:autoSpaceDN/>
        <w:bidi w:val="0"/>
        <w:adjustRightInd/>
        <w:snapToGrid/>
        <w:spacing w:line="440" w:lineRule="exact"/>
        <w:ind w:firstLine="480"/>
        <w:jc w:val="left"/>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2、通过有计划的检修、保养，保证电梯各部件在良性循环状态下运转，延长各部件的工作寿命，及时更换已磨损的零部件以预防故障的发生，保证所招标电梯正常安全顺畅运行。</w:t>
      </w:r>
    </w:p>
    <w:p>
      <w:pPr>
        <w:keepNext w:val="0"/>
        <w:keepLines w:val="0"/>
        <w:pageBreakBefore w:val="0"/>
        <w:widowControl/>
        <w:kinsoku/>
        <w:wordWrap/>
        <w:overflowPunct/>
        <w:topLinePunct w:val="0"/>
        <w:autoSpaceDE/>
        <w:autoSpaceDN/>
        <w:bidi w:val="0"/>
        <w:adjustRightInd/>
        <w:snapToGrid/>
        <w:spacing w:line="440" w:lineRule="exact"/>
        <w:ind w:firstLine="480"/>
        <w:jc w:val="left"/>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3、通过有计划的维修、保养，及时向招标方提供电梯的安全隐患和保证电梯安全运行的合理建议和措施。</w:t>
      </w:r>
    </w:p>
    <w:p>
      <w:pPr>
        <w:keepNext w:val="0"/>
        <w:keepLines w:val="0"/>
        <w:pageBreakBefore w:val="0"/>
        <w:kinsoku/>
        <w:wordWrap/>
        <w:overflowPunct/>
        <w:topLinePunct w:val="0"/>
        <w:autoSpaceDE/>
        <w:autoSpaceDN/>
        <w:bidi w:val="0"/>
        <w:adjustRightInd/>
        <w:snapToGrid/>
        <w:spacing w:line="440" w:lineRule="exact"/>
        <w:ind w:firstLine="480" w:firstLineChars="200"/>
        <w:jc w:val="left"/>
        <w:textAlignment w:val="auto"/>
        <w:outlineLvl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4、提供的更换设备、器件须是原厂相同品牌的设备、器件。</w:t>
      </w:r>
    </w:p>
    <w:p>
      <w:pPr>
        <w:keepNext w:val="0"/>
        <w:keepLines w:val="0"/>
        <w:pageBreakBefore w:val="0"/>
        <w:kinsoku/>
        <w:wordWrap/>
        <w:overflowPunct/>
        <w:topLinePunct w:val="0"/>
        <w:autoSpaceDE/>
        <w:autoSpaceDN/>
        <w:bidi w:val="0"/>
        <w:adjustRightInd/>
        <w:snapToGrid/>
        <w:spacing w:line="440" w:lineRule="exact"/>
        <w:ind w:firstLine="480" w:firstLineChars="200"/>
        <w:jc w:val="left"/>
        <w:textAlignment w:val="auto"/>
        <w:outlineLvl w:val="0"/>
        <w:rPr>
          <w:rFonts w:hint="eastAsia" w:asciiTheme="minorEastAsia" w:hAnsiTheme="minorEastAsia" w:eastAsiaTheme="minorEastAsia" w:cstheme="minorEastAsia"/>
          <w:b w:val="0"/>
          <w:bCs/>
          <w:sz w:val="24"/>
          <w:szCs w:val="24"/>
          <w:highlight w:val="none"/>
        </w:rPr>
      </w:pPr>
      <w:r>
        <w:rPr>
          <w:rFonts w:hint="eastAsia" w:asciiTheme="minorEastAsia" w:hAnsiTheme="minorEastAsia" w:eastAsiaTheme="minorEastAsia" w:cstheme="minorEastAsia"/>
          <w:sz w:val="24"/>
          <w:szCs w:val="24"/>
          <w:highlight w:val="none"/>
        </w:rPr>
        <w:t>5、维保时间频次要求：一年内半月维保服务24次；季度维保服务4次；半年维保服务2次；年度维保服务1次</w:t>
      </w:r>
      <w:r>
        <w:rPr>
          <w:rFonts w:hint="eastAsia" w:asciiTheme="minorEastAsia" w:hAnsiTheme="minorEastAsia" w:eastAsiaTheme="minorEastAsia" w:cstheme="minorEastAsia"/>
          <w:b/>
          <w:sz w:val="24"/>
          <w:szCs w:val="24"/>
          <w:highlight w:val="none"/>
        </w:rPr>
        <w:t>。</w:t>
      </w:r>
      <w:r>
        <w:rPr>
          <w:rFonts w:hint="eastAsia" w:asciiTheme="minorEastAsia" w:hAnsiTheme="minorEastAsia" w:eastAsiaTheme="minorEastAsia" w:cstheme="minorEastAsia"/>
          <w:b w:val="0"/>
          <w:bCs/>
          <w:sz w:val="24"/>
          <w:szCs w:val="24"/>
          <w:highlight w:val="none"/>
        </w:rPr>
        <w:t>对电梯实行全年365天、全天24小时监管，发现问题及时处理，接到故障通知，60分钟内到达现场进行处理，若电梯内有人员被困，必须保证在30分钟内将人员救出。对每部电梯的保养周期不得大于15天/次，而且保养内容与《日常维护保养记录》的要求相符。</w:t>
      </w:r>
    </w:p>
    <w:p>
      <w:pPr>
        <w:keepNext w:val="0"/>
        <w:keepLines w:val="0"/>
        <w:pageBreakBefore w:val="0"/>
        <w:kinsoku/>
        <w:wordWrap/>
        <w:overflowPunct/>
        <w:topLinePunct w:val="0"/>
        <w:autoSpaceDE/>
        <w:autoSpaceDN/>
        <w:bidi w:val="0"/>
        <w:adjustRightInd/>
        <w:snapToGrid/>
        <w:spacing w:line="440" w:lineRule="exact"/>
        <w:ind w:firstLine="480" w:firstLineChars="200"/>
        <w:jc w:val="left"/>
        <w:textAlignment w:val="auto"/>
        <w:outlineLvl w:val="0"/>
        <w:rPr>
          <w:rFonts w:hint="eastAsia" w:asciiTheme="minorEastAsia" w:hAnsiTheme="minorEastAsia" w:eastAsiaTheme="minorEastAsia" w:cstheme="minorEastAsia"/>
          <w:b w:val="0"/>
          <w:bCs/>
          <w:sz w:val="24"/>
          <w:szCs w:val="24"/>
          <w:highlight w:val="none"/>
        </w:rPr>
      </w:pPr>
      <w:r>
        <w:rPr>
          <w:rFonts w:hint="eastAsia" w:asciiTheme="minorEastAsia" w:hAnsiTheme="minorEastAsia" w:eastAsiaTheme="minorEastAsia" w:cstheme="minorEastAsia"/>
          <w:b w:val="0"/>
          <w:bCs/>
          <w:sz w:val="24"/>
          <w:szCs w:val="24"/>
          <w:highlight w:val="none"/>
        </w:rPr>
        <w:t>6、备有足够配件，保证一般故障4小时内修复，重大技术问题不超过24小时。 </w:t>
      </w:r>
    </w:p>
    <w:p>
      <w:pPr>
        <w:keepNext w:val="0"/>
        <w:keepLines w:val="0"/>
        <w:pageBreakBefore w:val="0"/>
        <w:kinsoku/>
        <w:wordWrap/>
        <w:overflowPunct/>
        <w:topLinePunct w:val="0"/>
        <w:autoSpaceDE/>
        <w:autoSpaceDN/>
        <w:bidi w:val="0"/>
        <w:adjustRightInd/>
        <w:snapToGrid/>
        <w:spacing w:line="440" w:lineRule="exact"/>
        <w:ind w:firstLine="480" w:firstLineChars="200"/>
        <w:jc w:val="left"/>
        <w:textAlignment w:val="auto"/>
        <w:outlineLvl w:val="0"/>
        <w:rPr>
          <w:rFonts w:hint="eastAsia" w:asciiTheme="minorEastAsia" w:hAnsiTheme="minorEastAsia" w:eastAsiaTheme="minorEastAsia" w:cstheme="minorEastAsia"/>
          <w:b w:val="0"/>
          <w:bCs/>
          <w:sz w:val="24"/>
          <w:szCs w:val="24"/>
          <w:highlight w:val="none"/>
        </w:rPr>
      </w:pPr>
      <w:r>
        <w:rPr>
          <w:rFonts w:hint="eastAsia" w:asciiTheme="minorEastAsia" w:hAnsiTheme="minorEastAsia" w:eastAsiaTheme="minorEastAsia" w:cstheme="minorEastAsia"/>
          <w:b w:val="0"/>
          <w:bCs/>
          <w:sz w:val="24"/>
          <w:szCs w:val="24"/>
          <w:highlight w:val="none"/>
        </w:rPr>
        <w:t>7、负责日常保养，零部件损坏属于正常损耗的由招标人负责，属于保养不当的由维保单位负责，更换零部件不收取维修技术服务人工费。 </w:t>
      </w:r>
    </w:p>
    <w:p>
      <w:pPr>
        <w:keepNext w:val="0"/>
        <w:keepLines w:val="0"/>
        <w:pageBreakBefore w:val="0"/>
        <w:kinsoku/>
        <w:wordWrap/>
        <w:overflowPunct/>
        <w:topLinePunct w:val="0"/>
        <w:autoSpaceDE/>
        <w:autoSpaceDN/>
        <w:bidi w:val="0"/>
        <w:adjustRightInd/>
        <w:snapToGrid/>
        <w:spacing w:line="440" w:lineRule="exact"/>
        <w:ind w:firstLine="480" w:firstLineChars="200"/>
        <w:jc w:val="left"/>
        <w:textAlignment w:val="auto"/>
        <w:outlineLvl w:val="0"/>
        <w:rPr>
          <w:rFonts w:hint="eastAsia" w:asciiTheme="minorEastAsia" w:hAnsiTheme="minorEastAsia" w:eastAsiaTheme="minorEastAsia" w:cstheme="minorEastAsia"/>
          <w:b w:val="0"/>
          <w:bCs/>
          <w:sz w:val="24"/>
          <w:szCs w:val="24"/>
          <w:highlight w:val="none"/>
        </w:rPr>
      </w:pPr>
      <w:r>
        <w:rPr>
          <w:rFonts w:hint="eastAsia" w:asciiTheme="minorEastAsia" w:hAnsiTheme="minorEastAsia" w:eastAsiaTheme="minorEastAsia" w:cstheme="minorEastAsia"/>
          <w:b w:val="0"/>
          <w:bCs/>
          <w:sz w:val="24"/>
          <w:szCs w:val="24"/>
          <w:highlight w:val="none"/>
        </w:rPr>
        <w:t>8、配合完成招标人电梯的年检申报及取证工作。 </w:t>
      </w:r>
    </w:p>
    <w:p>
      <w:pPr>
        <w:keepNext w:val="0"/>
        <w:keepLines w:val="0"/>
        <w:pageBreakBefore w:val="0"/>
        <w:kinsoku/>
        <w:wordWrap/>
        <w:overflowPunct/>
        <w:topLinePunct w:val="0"/>
        <w:autoSpaceDE/>
        <w:autoSpaceDN/>
        <w:bidi w:val="0"/>
        <w:adjustRightInd/>
        <w:snapToGrid/>
        <w:spacing w:line="440" w:lineRule="exact"/>
        <w:ind w:firstLine="480" w:firstLineChars="200"/>
        <w:jc w:val="left"/>
        <w:textAlignment w:val="auto"/>
        <w:outlineLvl w:val="0"/>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val="0"/>
          <w:bCs/>
          <w:sz w:val="24"/>
          <w:szCs w:val="24"/>
          <w:highlight w:val="none"/>
        </w:rPr>
        <w:t>9、各项维保工作需登记工作日志以备查阅。</w:t>
      </w:r>
      <w:r>
        <w:rPr>
          <w:rFonts w:hint="eastAsia" w:asciiTheme="minorEastAsia" w:hAnsiTheme="minorEastAsia" w:eastAsiaTheme="minorEastAsia" w:cstheme="minorEastAsia"/>
          <w:b/>
          <w:sz w:val="24"/>
          <w:szCs w:val="24"/>
          <w:highlight w:val="none"/>
        </w:rPr>
        <w:t> </w:t>
      </w:r>
    </w:p>
    <w:p>
      <w:pPr>
        <w:keepNext w:val="0"/>
        <w:keepLines w:val="0"/>
        <w:pageBreakBefore w:val="0"/>
        <w:kinsoku/>
        <w:wordWrap/>
        <w:overflowPunct/>
        <w:topLinePunct w:val="0"/>
        <w:autoSpaceDE/>
        <w:autoSpaceDN/>
        <w:bidi w:val="0"/>
        <w:adjustRightInd/>
        <w:snapToGrid/>
        <w:spacing w:line="440" w:lineRule="exact"/>
        <w:ind w:firstLine="481" w:firstLineChars="200"/>
        <w:jc w:val="left"/>
        <w:textAlignment w:val="auto"/>
        <w:outlineLvl w:val="0"/>
        <w:rPr>
          <w:rFonts w:hint="eastAsia" w:asciiTheme="minorEastAsia" w:hAnsiTheme="minorEastAsia" w:eastAsiaTheme="minorEastAsia" w:cstheme="minorEastAsia"/>
          <w:b/>
          <w:bCs/>
          <w:sz w:val="24"/>
          <w:szCs w:val="24"/>
          <w:lang w:eastAsia="zh-CN"/>
        </w:rPr>
      </w:pPr>
    </w:p>
    <w:p>
      <w:pPr>
        <w:keepNext w:val="0"/>
        <w:keepLines w:val="0"/>
        <w:pageBreakBefore w:val="0"/>
        <w:kinsoku/>
        <w:wordWrap/>
        <w:overflowPunct/>
        <w:topLinePunct w:val="0"/>
        <w:autoSpaceDE/>
        <w:autoSpaceDN/>
        <w:bidi w:val="0"/>
        <w:adjustRightInd/>
        <w:snapToGrid/>
        <w:spacing w:line="440" w:lineRule="exact"/>
        <w:ind w:firstLine="481" w:firstLineChars="200"/>
        <w:jc w:val="left"/>
        <w:textAlignment w:val="auto"/>
        <w:outlineLvl w:val="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eastAsia="zh-CN"/>
        </w:rPr>
        <w:t>四</w:t>
      </w:r>
      <w:r>
        <w:rPr>
          <w:rFonts w:hint="eastAsia" w:asciiTheme="minorEastAsia" w:hAnsiTheme="minorEastAsia" w:eastAsiaTheme="minorEastAsia" w:cstheme="minorEastAsia"/>
          <w:b/>
          <w:bCs/>
          <w:sz w:val="24"/>
          <w:szCs w:val="24"/>
        </w:rPr>
        <w:t>、电梯日常维保要求：</w:t>
      </w:r>
    </w:p>
    <w:p>
      <w:pPr>
        <w:keepNext w:val="0"/>
        <w:keepLines w:val="0"/>
        <w:pageBreakBefore w:val="0"/>
        <w:kinsoku/>
        <w:wordWrap/>
        <w:overflowPunct/>
        <w:topLinePunct w:val="0"/>
        <w:autoSpaceDE/>
        <w:autoSpaceDN/>
        <w:bidi w:val="0"/>
        <w:adjustRightInd/>
        <w:snapToGrid/>
        <w:spacing w:line="440" w:lineRule="exact"/>
        <w:ind w:firstLine="480" w:firstLineChars="200"/>
        <w:jc w:val="left"/>
        <w:textAlignment w:val="auto"/>
        <w:outlineLvl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1、投标人应按照本合同约定、有关安全技术规范、电梯产品安装使用维护说明书等要求，制定维保方案，定期开展维保服务，确保招标人电梯正常安全运行。</w:t>
      </w:r>
    </w:p>
    <w:p>
      <w:pPr>
        <w:keepNext w:val="0"/>
        <w:keepLines w:val="0"/>
        <w:pageBreakBefore w:val="0"/>
        <w:kinsoku/>
        <w:wordWrap/>
        <w:overflowPunct/>
        <w:topLinePunct w:val="0"/>
        <w:autoSpaceDE/>
        <w:autoSpaceDN/>
        <w:bidi w:val="0"/>
        <w:adjustRightInd/>
        <w:snapToGrid/>
        <w:spacing w:line="440" w:lineRule="exact"/>
        <w:ind w:firstLine="480" w:firstLineChars="200"/>
        <w:jc w:val="left"/>
        <w:textAlignment w:val="auto"/>
        <w:outlineLvl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2、投标人应设立24小时维保值班电话，保证接到故障通知后及时予以排除，接到电梯困人故障报告后，维修人员及时抵达所维保电梯所在地实施现场救援，直辖市或者设区的市抵达时间不超过</w:t>
      </w:r>
      <w:r>
        <w:rPr>
          <w:rFonts w:hint="eastAsia" w:asciiTheme="minorEastAsia" w:hAnsiTheme="minorEastAsia" w:eastAsiaTheme="minorEastAsia" w:cstheme="minorEastAsia"/>
          <w:sz w:val="24"/>
          <w:szCs w:val="24"/>
          <w:u w:val="single"/>
          <w:lang w:val="en-US" w:eastAsia="zh-CN"/>
        </w:rPr>
        <w:t>30分钟</w:t>
      </w:r>
      <w:r>
        <w:rPr>
          <w:rFonts w:hint="eastAsia" w:asciiTheme="minorEastAsia" w:hAnsiTheme="minorEastAsia" w:eastAsiaTheme="minorEastAsia" w:cstheme="minorEastAsia"/>
          <w:sz w:val="24"/>
          <w:szCs w:val="24"/>
        </w:rPr>
        <w:t>排除故障。</w:t>
      </w:r>
    </w:p>
    <w:p>
      <w:pPr>
        <w:keepNext w:val="0"/>
        <w:keepLines w:val="0"/>
        <w:pageBreakBefore w:val="0"/>
        <w:kinsoku/>
        <w:wordWrap/>
        <w:overflowPunct/>
        <w:topLinePunct w:val="0"/>
        <w:autoSpaceDE/>
        <w:autoSpaceDN/>
        <w:bidi w:val="0"/>
        <w:adjustRightInd/>
        <w:snapToGrid/>
        <w:spacing w:line="440" w:lineRule="exact"/>
        <w:ind w:firstLine="480" w:firstLineChars="200"/>
        <w:jc w:val="left"/>
        <w:textAlignment w:val="auto"/>
        <w:outlineLvl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3、投标人应建立每部电梯的维保记录，并向招标人反馈维修保养结果。</w:t>
      </w:r>
    </w:p>
    <w:p>
      <w:pPr>
        <w:keepNext w:val="0"/>
        <w:keepLines w:val="0"/>
        <w:pageBreakBefore w:val="0"/>
        <w:kinsoku/>
        <w:wordWrap/>
        <w:overflowPunct/>
        <w:topLinePunct w:val="0"/>
        <w:autoSpaceDE/>
        <w:autoSpaceDN/>
        <w:bidi w:val="0"/>
        <w:adjustRightInd/>
        <w:snapToGrid/>
        <w:spacing w:line="440" w:lineRule="exact"/>
        <w:ind w:firstLine="480" w:firstLineChars="200"/>
        <w:jc w:val="left"/>
        <w:textAlignment w:val="auto"/>
        <w:outlineLvl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4、在维保过程中，如果通过维保或者自行检查，发现电梯仅依靠合同规定的维保已经不能保证安全运行，需要改造、维修或者更换零部件、更新电梯时，应当向招标人书面提出；发现事故隐患及时告知招标人。</w:t>
      </w:r>
    </w:p>
    <w:p>
      <w:pPr>
        <w:keepNext w:val="0"/>
        <w:keepLines w:val="0"/>
        <w:pageBreakBefore w:val="0"/>
        <w:kinsoku/>
        <w:wordWrap/>
        <w:overflowPunct/>
        <w:topLinePunct w:val="0"/>
        <w:autoSpaceDE/>
        <w:autoSpaceDN/>
        <w:bidi w:val="0"/>
        <w:adjustRightInd/>
        <w:snapToGrid/>
        <w:spacing w:line="440" w:lineRule="exact"/>
        <w:ind w:firstLine="480" w:firstLineChars="200"/>
        <w:jc w:val="left"/>
        <w:textAlignment w:val="auto"/>
        <w:outlineLvl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5、投标人工作人员进入招标人工作区域，应严格遵守招标人的有关规章制度。</w:t>
      </w:r>
    </w:p>
    <w:p>
      <w:pPr>
        <w:keepNext w:val="0"/>
        <w:keepLines w:val="0"/>
        <w:pageBreakBefore w:val="0"/>
        <w:kinsoku/>
        <w:wordWrap/>
        <w:overflowPunct/>
        <w:topLinePunct w:val="0"/>
        <w:autoSpaceDE/>
        <w:autoSpaceDN/>
        <w:bidi w:val="0"/>
        <w:adjustRightInd/>
        <w:snapToGrid/>
        <w:spacing w:line="440" w:lineRule="exact"/>
        <w:ind w:firstLine="480" w:firstLineChars="200"/>
        <w:jc w:val="left"/>
        <w:textAlignment w:val="auto"/>
        <w:outlineLvl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6、现场作业人员应当具备电梯维修保养的相应资质、经验和技能。</w:t>
      </w:r>
    </w:p>
    <w:p>
      <w:pPr>
        <w:keepNext w:val="0"/>
        <w:keepLines w:val="0"/>
        <w:pageBreakBefore w:val="0"/>
        <w:kinsoku/>
        <w:wordWrap/>
        <w:overflowPunct/>
        <w:topLinePunct w:val="0"/>
        <w:autoSpaceDE/>
        <w:autoSpaceDN/>
        <w:bidi w:val="0"/>
        <w:adjustRightInd/>
        <w:snapToGrid/>
        <w:spacing w:line="440" w:lineRule="exact"/>
        <w:ind w:firstLine="480" w:firstLineChars="200"/>
        <w:jc w:val="left"/>
        <w:textAlignment w:val="auto"/>
        <w:outlineLvl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7、投标人自行配备工作所需的工具及设备，作业时应设置现场安全警示标志，做好现场其他安全防护措施，保证作业安全，现场作业人员必须是本企业在职职工并购买社会保险。</w:t>
      </w:r>
    </w:p>
    <w:p>
      <w:pPr>
        <w:keepNext w:val="0"/>
        <w:keepLines w:val="0"/>
        <w:pageBreakBefore w:val="0"/>
        <w:kinsoku/>
        <w:wordWrap/>
        <w:overflowPunct/>
        <w:topLinePunct w:val="0"/>
        <w:autoSpaceDE/>
        <w:autoSpaceDN/>
        <w:bidi w:val="0"/>
        <w:adjustRightInd/>
        <w:snapToGrid/>
        <w:spacing w:line="440" w:lineRule="exact"/>
        <w:ind w:firstLine="480" w:firstLineChars="200"/>
        <w:jc w:val="left"/>
        <w:textAlignment w:val="auto"/>
        <w:outlineLvl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8、未经招标人同意，投标人不得将本合同下的服务分包给任何第三方。</w:t>
      </w:r>
    </w:p>
    <w:p>
      <w:pPr>
        <w:keepNext w:val="0"/>
        <w:keepLines w:val="0"/>
        <w:pageBreakBefore w:val="0"/>
        <w:kinsoku/>
        <w:wordWrap/>
        <w:overflowPunct/>
        <w:topLinePunct w:val="0"/>
        <w:autoSpaceDE/>
        <w:autoSpaceDN/>
        <w:bidi w:val="0"/>
        <w:adjustRightInd/>
        <w:snapToGrid/>
        <w:spacing w:line="440" w:lineRule="exact"/>
        <w:ind w:firstLine="480" w:firstLineChars="200"/>
        <w:jc w:val="left"/>
        <w:textAlignment w:val="auto"/>
        <w:outlineLvl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9、合同终止后，投标人应向招标人或招标人指定的第三方进行必要的交接和协助。</w:t>
      </w:r>
    </w:p>
    <w:p>
      <w:pPr>
        <w:keepNext w:val="0"/>
        <w:keepLines w:val="0"/>
        <w:pageBreakBefore w:val="0"/>
        <w:kinsoku/>
        <w:wordWrap/>
        <w:overflowPunct/>
        <w:topLinePunct w:val="0"/>
        <w:autoSpaceDE/>
        <w:autoSpaceDN/>
        <w:bidi w:val="0"/>
        <w:adjustRightInd/>
        <w:snapToGrid/>
        <w:spacing w:line="440" w:lineRule="exact"/>
        <w:ind w:firstLine="480" w:firstLineChars="200"/>
        <w:jc w:val="left"/>
        <w:textAlignment w:val="auto"/>
        <w:outlineLvl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10、应当妥善保管招标人提供的电梯图纸及相关资料，在合同终止后交给招标人，并向招标人及新的维修方做好其他必要的交接和协助工作。</w:t>
      </w:r>
    </w:p>
    <w:p>
      <w:pPr>
        <w:keepNext w:val="0"/>
        <w:keepLines w:val="0"/>
        <w:pageBreakBefore w:val="0"/>
        <w:kinsoku/>
        <w:wordWrap/>
        <w:overflowPunct/>
        <w:topLinePunct w:val="0"/>
        <w:autoSpaceDE/>
        <w:autoSpaceDN/>
        <w:bidi w:val="0"/>
        <w:adjustRightInd/>
        <w:snapToGrid/>
        <w:spacing w:line="440" w:lineRule="exact"/>
        <w:ind w:firstLine="480" w:firstLineChars="200"/>
        <w:jc w:val="left"/>
        <w:textAlignment w:val="auto"/>
        <w:outlineLvl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11、投标人作业人员在作业过程中因操作不当发生财产人身等损害或造成甲方及第三人财产人身损害的，应由投标人负责。</w:t>
      </w:r>
    </w:p>
    <w:p>
      <w:pPr>
        <w:keepNext w:val="0"/>
        <w:keepLines w:val="0"/>
        <w:pageBreakBefore w:val="0"/>
        <w:kinsoku/>
        <w:wordWrap/>
        <w:overflowPunct/>
        <w:topLinePunct w:val="0"/>
        <w:autoSpaceDE/>
        <w:autoSpaceDN/>
        <w:bidi w:val="0"/>
        <w:adjustRightInd/>
        <w:snapToGrid/>
        <w:spacing w:line="440" w:lineRule="exact"/>
        <w:ind w:firstLine="480" w:firstLineChars="200"/>
        <w:jc w:val="left"/>
        <w:textAlignment w:val="auto"/>
        <w:outlineLvl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投标人积极配合招标人通过年检；负责完成年检中发生的属本合同范围内的整改工作。因投标人原因导致电梯不合格的，由投标人整改完成，并承担复检费用；非因投标人原因导致电梯年检不合格的，招标人承担整改费用及复检费用。</w:t>
      </w:r>
    </w:p>
    <w:p>
      <w:pPr>
        <w:keepNext w:val="0"/>
        <w:keepLines w:val="0"/>
        <w:pageBreakBefore w:val="0"/>
        <w:kinsoku/>
        <w:wordWrap/>
        <w:overflowPunct/>
        <w:topLinePunct w:val="0"/>
        <w:autoSpaceDE/>
        <w:autoSpaceDN/>
        <w:bidi w:val="0"/>
        <w:adjustRightInd/>
        <w:snapToGrid/>
        <w:spacing w:line="440" w:lineRule="exact"/>
        <w:ind w:firstLine="480" w:firstLineChars="200"/>
        <w:jc w:val="left"/>
        <w:textAlignment w:val="auto"/>
        <w:outlineLvl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13、招标人若需进行电梯改造、装修等非常规维保范围内的项目，投标人须经招标人确认后方可进行施工，由此产生的费用以联系单方式另计。</w:t>
      </w:r>
    </w:p>
    <w:p>
      <w:pPr>
        <w:keepNext w:val="0"/>
        <w:keepLines w:val="0"/>
        <w:pageBreakBefore w:val="0"/>
        <w:kinsoku/>
        <w:wordWrap/>
        <w:overflowPunct/>
        <w:topLinePunct w:val="0"/>
        <w:autoSpaceDE/>
        <w:autoSpaceDN/>
        <w:bidi w:val="0"/>
        <w:adjustRightInd/>
        <w:snapToGrid/>
        <w:spacing w:line="440" w:lineRule="exact"/>
        <w:ind w:firstLine="480" w:firstLineChars="200"/>
        <w:jc w:val="left"/>
        <w:textAlignment w:val="auto"/>
        <w:outlineLvl w:val="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sz w:val="24"/>
          <w:szCs w:val="24"/>
        </w:rPr>
        <w:t>14、</w:t>
      </w:r>
      <w:r>
        <w:rPr>
          <w:rFonts w:hint="eastAsia" w:asciiTheme="minorEastAsia" w:hAnsiTheme="minorEastAsia" w:eastAsiaTheme="minorEastAsia" w:cstheme="minorEastAsia"/>
          <w:bCs/>
          <w:sz w:val="24"/>
          <w:szCs w:val="24"/>
        </w:rPr>
        <w:t>随时听取招标单位的反馈，对不正常的运行状况，做认真分析及纠正。</w:t>
      </w:r>
    </w:p>
    <w:p>
      <w:pPr>
        <w:keepNext w:val="0"/>
        <w:keepLines w:val="0"/>
        <w:pageBreakBefore w:val="0"/>
        <w:kinsoku/>
        <w:wordWrap/>
        <w:overflowPunct/>
        <w:topLinePunct w:val="0"/>
        <w:autoSpaceDE/>
        <w:autoSpaceDN/>
        <w:bidi w:val="0"/>
        <w:adjustRightInd/>
        <w:snapToGrid/>
        <w:spacing w:line="440" w:lineRule="exact"/>
        <w:ind w:firstLine="480" w:firstLineChars="200"/>
        <w:jc w:val="left"/>
        <w:textAlignment w:val="auto"/>
        <w:outlineLvl w:val="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15、在维保过程中，如果通过维保或者自行检查，发现电梯仅依靠合同规定的维保已经不能保证安全运行，应当向招标人书面提出，并提供相关建议供。发现事故隐患及时告知招标人。</w:t>
      </w:r>
    </w:p>
    <w:p>
      <w:pPr>
        <w:keepNext w:val="0"/>
        <w:keepLines w:val="0"/>
        <w:pageBreakBefore w:val="0"/>
        <w:kinsoku/>
        <w:wordWrap/>
        <w:overflowPunct/>
        <w:topLinePunct w:val="0"/>
        <w:autoSpaceDE/>
        <w:autoSpaceDN/>
        <w:bidi w:val="0"/>
        <w:adjustRightInd/>
        <w:snapToGrid/>
        <w:spacing w:line="440" w:lineRule="exact"/>
        <w:ind w:firstLine="480" w:firstLineChars="200"/>
        <w:jc w:val="left"/>
        <w:textAlignment w:val="auto"/>
        <w:outlineLvl w:val="0"/>
        <w:rPr>
          <w:rFonts w:hint="eastAsia" w:asciiTheme="minorEastAsia" w:hAnsiTheme="minorEastAsia" w:eastAsiaTheme="minorEastAsia" w:cstheme="minorEastAsia"/>
          <w:bCs/>
          <w:sz w:val="24"/>
          <w:szCs w:val="24"/>
          <w:lang w:val="en-US" w:eastAsia="zh-CN"/>
        </w:rPr>
      </w:pPr>
      <w:r>
        <w:rPr>
          <w:rFonts w:hint="eastAsia" w:asciiTheme="minorEastAsia" w:hAnsiTheme="minorEastAsia" w:eastAsiaTheme="minorEastAsia" w:cstheme="minorEastAsia"/>
          <w:bCs/>
          <w:sz w:val="24"/>
          <w:szCs w:val="24"/>
        </w:rPr>
        <w:t>16、在合同期内，维保方如有违反招标文件、投标文件、合同中的其它规定、承诺时，招标单位将提出书面警告，当书面警告累计达到三次以上时</w:t>
      </w:r>
      <w:r>
        <w:rPr>
          <w:rFonts w:hint="eastAsia" w:asciiTheme="minorEastAsia" w:hAnsiTheme="minorEastAsia" w:eastAsiaTheme="minorEastAsia" w:cstheme="minorEastAsia"/>
          <w:bCs/>
          <w:sz w:val="24"/>
          <w:szCs w:val="24"/>
          <w:lang w:val="en-US" w:eastAsia="zh-CN"/>
        </w:rPr>
        <w:t>,</w:t>
      </w:r>
      <w:r>
        <w:rPr>
          <w:rFonts w:hint="eastAsia" w:asciiTheme="minorEastAsia" w:hAnsiTheme="minorEastAsia" w:eastAsiaTheme="minorEastAsia" w:cstheme="minorEastAsia"/>
          <w:bCs/>
          <w:sz w:val="24"/>
          <w:szCs w:val="24"/>
        </w:rPr>
        <w:t>招标单位有权提前解除合同，并视情节扣罚相应服务费</w:t>
      </w:r>
      <w:r>
        <w:rPr>
          <w:rFonts w:hint="eastAsia" w:asciiTheme="minorEastAsia" w:hAnsiTheme="minorEastAsia" w:eastAsiaTheme="minorEastAsia" w:cstheme="minorEastAsia"/>
          <w:bCs/>
          <w:sz w:val="24"/>
          <w:szCs w:val="24"/>
          <w:lang w:eastAsia="zh-CN"/>
        </w:rPr>
        <w:t>，</w:t>
      </w:r>
      <w:r>
        <w:rPr>
          <w:rFonts w:hint="eastAsia" w:asciiTheme="minorEastAsia" w:hAnsiTheme="minorEastAsia" w:eastAsiaTheme="minorEastAsia" w:cstheme="minorEastAsia"/>
          <w:bCs/>
          <w:sz w:val="24"/>
          <w:szCs w:val="24"/>
        </w:rPr>
        <w:t>每次不少于500元人民币</w:t>
      </w:r>
      <w:r>
        <w:rPr>
          <w:rFonts w:hint="eastAsia" w:asciiTheme="minorEastAsia" w:hAnsiTheme="minorEastAsia" w:eastAsiaTheme="minorEastAsia" w:cstheme="minorEastAsia"/>
          <w:bCs/>
          <w:sz w:val="24"/>
          <w:szCs w:val="24"/>
          <w:lang w:eastAsia="zh-CN"/>
        </w:rPr>
        <w:t>。</w:t>
      </w:r>
    </w:p>
    <w:p>
      <w:pPr>
        <w:keepNext w:val="0"/>
        <w:keepLines w:val="0"/>
        <w:pageBreakBefore w:val="0"/>
        <w:kinsoku/>
        <w:wordWrap/>
        <w:overflowPunct/>
        <w:topLinePunct w:val="0"/>
        <w:autoSpaceDE/>
        <w:autoSpaceDN/>
        <w:bidi w:val="0"/>
        <w:adjustRightInd/>
        <w:snapToGrid/>
        <w:spacing w:line="440" w:lineRule="exact"/>
        <w:ind w:firstLine="480" w:firstLineChars="200"/>
        <w:jc w:val="left"/>
        <w:textAlignment w:val="auto"/>
        <w:outlineLvl w:val="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17、</w:t>
      </w:r>
      <w:r>
        <w:rPr>
          <w:rFonts w:hint="eastAsia" w:asciiTheme="minorEastAsia" w:hAnsiTheme="minorEastAsia" w:eastAsiaTheme="minorEastAsia" w:cstheme="minorEastAsia"/>
          <w:sz w:val="24"/>
          <w:szCs w:val="24"/>
        </w:rPr>
        <w:t>投标人人员在作业过程中因操作不当发生财产人身等损害或造成甲方及第三人财产人身损害的，应由投标人负责。</w:t>
      </w:r>
    </w:p>
    <w:p>
      <w:pPr>
        <w:keepNext w:val="0"/>
        <w:keepLines w:val="0"/>
        <w:pageBreakBefore w:val="0"/>
        <w:kinsoku/>
        <w:wordWrap/>
        <w:overflowPunct/>
        <w:topLinePunct w:val="0"/>
        <w:autoSpaceDE/>
        <w:autoSpaceDN/>
        <w:bidi w:val="0"/>
        <w:adjustRightInd/>
        <w:snapToGrid/>
        <w:spacing w:line="440" w:lineRule="exact"/>
        <w:ind w:firstLine="480" w:firstLineChars="200"/>
        <w:jc w:val="left"/>
        <w:textAlignment w:val="auto"/>
        <w:outlineLvl w:val="0"/>
        <w:rPr>
          <w:rFonts w:hint="eastAsia" w:asciiTheme="minorEastAsia" w:hAnsiTheme="minorEastAsia" w:eastAsiaTheme="minorEastAsia" w:cstheme="minorEastAsia"/>
          <w:sz w:val="24"/>
          <w:szCs w:val="24"/>
        </w:rPr>
      </w:pPr>
    </w:p>
    <w:p>
      <w:pPr>
        <w:keepNext w:val="0"/>
        <w:keepLines w:val="0"/>
        <w:pageBreakBefore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pageBreakBefore w:val="0"/>
        <w:widowControl w:val="0"/>
        <w:kinsoku/>
        <w:wordWrap/>
        <w:overflowPunct/>
        <w:topLinePunct w:val="0"/>
        <w:autoSpaceDE/>
        <w:autoSpaceDN/>
        <w:bidi w:val="0"/>
        <w:adjustRightInd/>
        <w:snapToGrid/>
        <w:spacing w:line="600" w:lineRule="exact"/>
        <w:textAlignment w:val="auto"/>
        <w:rPr>
          <w:rFonts w:hint="eastAsia" w:asciiTheme="minorEastAsia" w:hAnsiTheme="minorEastAsia" w:eastAsiaTheme="minorEastAsia" w:cstheme="minorEastAsia"/>
          <w:sz w:val="24"/>
          <w:szCs w:val="24"/>
        </w:rPr>
      </w:pPr>
    </w:p>
    <w:p>
      <w:pPr>
        <w:pStyle w:val="2"/>
        <w:pageBreakBefore w:val="0"/>
        <w:widowControl w:val="0"/>
        <w:kinsoku/>
        <w:wordWrap/>
        <w:overflowPunct/>
        <w:topLinePunct w:val="0"/>
        <w:autoSpaceDE/>
        <w:autoSpaceDN/>
        <w:bidi w:val="0"/>
        <w:adjustRightInd/>
        <w:snapToGrid/>
        <w:spacing w:before="0" w:after="0" w:line="600" w:lineRule="exact"/>
        <w:jc w:val="righ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中共湖州市委党校</w:t>
      </w:r>
    </w:p>
    <w:p>
      <w:pPr>
        <w:pStyle w:val="2"/>
        <w:pageBreakBefore w:val="0"/>
        <w:widowControl w:val="0"/>
        <w:kinsoku/>
        <w:wordWrap/>
        <w:overflowPunct/>
        <w:topLinePunct w:val="0"/>
        <w:autoSpaceDE/>
        <w:autoSpaceDN/>
        <w:bidi w:val="0"/>
        <w:adjustRightInd/>
        <w:snapToGrid/>
        <w:spacing w:before="0" w:after="0" w:line="600" w:lineRule="exact"/>
        <w:jc w:val="right"/>
        <w:textAlignment w:val="auto"/>
        <w:rPr>
          <w:rFonts w:hint="default"/>
          <w:lang w:val="en-US" w:eastAsia="zh-CN"/>
        </w:rPr>
      </w:pPr>
      <w:r>
        <w:rPr>
          <w:rFonts w:hint="eastAsia" w:asciiTheme="minorEastAsia" w:hAnsiTheme="minorEastAsia" w:eastAsiaTheme="minorEastAsia" w:cstheme="minorEastAsia"/>
          <w:sz w:val="24"/>
          <w:szCs w:val="24"/>
          <w:lang w:val="en-US" w:eastAsia="zh-CN"/>
        </w:rPr>
        <w:t>2022年9月22日</w:t>
      </w:r>
    </w:p>
    <w:sectPr>
      <w:footerReference r:id="rId3" w:type="default"/>
      <w:footerReference r:id="rId4" w:type="even"/>
      <w:pgSz w:w="11906" w:h="16838"/>
      <w:pgMar w:top="1588" w:right="1588" w:bottom="1246" w:left="1588"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jc w:val="center"/>
    </w:pPr>
    <w:r>
      <w:fldChar w:fldCharType="begin"/>
    </w:r>
    <w:r>
      <w:instrText xml:space="preserve"> PAGE   \* MERGEFORMAT </w:instrText>
    </w:r>
    <w:r>
      <w:fldChar w:fldCharType="separate"/>
    </w:r>
    <w:r>
      <w:rPr>
        <w:lang w:val="zh-CN"/>
      </w:rPr>
      <w:t>28</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3"/>
      </w:rPr>
    </w:pPr>
    <w:r>
      <w:fldChar w:fldCharType="begin"/>
    </w:r>
    <w:r>
      <w:rPr>
        <w:rStyle w:val="13"/>
      </w:rPr>
      <w:instrText xml:space="preserve">PAGE  </w:instrText>
    </w:r>
    <w:r>
      <w:fldChar w:fldCharType="end"/>
    </w:r>
  </w:p>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659"/>
    <w:rsid w:val="003E1E02"/>
    <w:rsid w:val="003F2886"/>
    <w:rsid w:val="00417659"/>
    <w:rsid w:val="004F14D5"/>
    <w:rsid w:val="006A3816"/>
    <w:rsid w:val="006C7B33"/>
    <w:rsid w:val="007D0005"/>
    <w:rsid w:val="00A232A7"/>
    <w:rsid w:val="00BF57EF"/>
    <w:rsid w:val="04097CC3"/>
    <w:rsid w:val="0B091304"/>
    <w:rsid w:val="0B5479AA"/>
    <w:rsid w:val="15CB344F"/>
    <w:rsid w:val="16B31FA5"/>
    <w:rsid w:val="17B25F68"/>
    <w:rsid w:val="17CC3FF9"/>
    <w:rsid w:val="180C06C2"/>
    <w:rsid w:val="1B3F2D9C"/>
    <w:rsid w:val="20A76F5E"/>
    <w:rsid w:val="2AA62CA3"/>
    <w:rsid w:val="2F1366F6"/>
    <w:rsid w:val="2FB1586A"/>
    <w:rsid w:val="30A329B8"/>
    <w:rsid w:val="30C62ACA"/>
    <w:rsid w:val="34AB2C48"/>
    <w:rsid w:val="34AD17C9"/>
    <w:rsid w:val="38E52F22"/>
    <w:rsid w:val="38F03385"/>
    <w:rsid w:val="398F6673"/>
    <w:rsid w:val="3E14E4DD"/>
    <w:rsid w:val="4D957505"/>
    <w:rsid w:val="4F013059"/>
    <w:rsid w:val="583727A6"/>
    <w:rsid w:val="5D2923B0"/>
    <w:rsid w:val="5DA30241"/>
    <w:rsid w:val="5FFB99E4"/>
    <w:rsid w:val="65531950"/>
    <w:rsid w:val="685124BA"/>
    <w:rsid w:val="688F08CA"/>
    <w:rsid w:val="692818BB"/>
    <w:rsid w:val="699C4E6B"/>
    <w:rsid w:val="6FAB20F8"/>
    <w:rsid w:val="73176FC5"/>
    <w:rsid w:val="734A08F0"/>
    <w:rsid w:val="739F0D72"/>
    <w:rsid w:val="765D6AFA"/>
    <w:rsid w:val="77A35199"/>
    <w:rsid w:val="78534EA0"/>
    <w:rsid w:val="7DF5355A"/>
    <w:rsid w:val="7E934F28"/>
    <w:rsid w:val="7E963649"/>
    <w:rsid w:val="7EE5AFCC"/>
    <w:rsid w:val="7F7FF889"/>
    <w:rsid w:val="9FC5185D"/>
    <w:rsid w:val="EF774642"/>
    <w:rsid w:val="EFFFDF93"/>
    <w:rsid w:val="FEFF70AC"/>
    <w:rsid w:val="FFF4A4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jc w:val="center"/>
      <w:outlineLvl w:val="0"/>
    </w:pPr>
    <w:rPr>
      <w:b/>
      <w:bCs/>
      <w:kern w:val="44"/>
      <w:sz w:val="32"/>
      <w:szCs w:val="44"/>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qFormat/>
    <w:uiPriority w:val="0"/>
    <w:pPr>
      <w:spacing w:line="200" w:lineRule="exact"/>
      <w:ind w:firstLine="301"/>
    </w:pPr>
    <w:rPr>
      <w:rFonts w:ascii="宋体" w:hAnsi="Courier New"/>
      <w:spacing w:val="-4"/>
      <w:sz w:val="18"/>
      <w:szCs w:val="20"/>
    </w:rPr>
  </w:style>
  <w:style w:type="paragraph" w:styleId="4">
    <w:name w:val="Plain Text"/>
    <w:basedOn w:val="1"/>
    <w:next w:val="1"/>
    <w:qFormat/>
    <w:uiPriority w:val="0"/>
    <w:pPr>
      <w:spacing w:beforeLines="50" w:afterLines="50" w:line="400" w:lineRule="exact"/>
    </w:pPr>
    <w:rPr>
      <w:rFonts w:ascii="宋体" w:hAnsi="Courier New"/>
      <w:sz w:val="24"/>
    </w:rPr>
  </w:style>
  <w:style w:type="paragraph" w:styleId="5">
    <w:name w:val="footer"/>
    <w:basedOn w:val="1"/>
    <w:qFormat/>
    <w:uiPriority w:val="0"/>
    <w:pPr>
      <w:tabs>
        <w:tab w:val="center" w:pos="4153"/>
        <w:tab w:val="right" w:pos="8306"/>
      </w:tabs>
      <w:snapToGrid w:val="0"/>
      <w:jc w:val="left"/>
    </w:pPr>
    <w:rPr>
      <w:rFonts w:eastAsia="黑体"/>
      <w:snapToGrid w:val="0"/>
      <w:kern w:val="0"/>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rFonts w:eastAsia="仿宋_GB2312"/>
      <w:sz w:val="18"/>
      <w:szCs w:val="20"/>
    </w:rPr>
  </w:style>
  <w:style w:type="paragraph" w:styleId="7">
    <w:name w:val="toc 1"/>
    <w:basedOn w:val="1"/>
    <w:next w:val="1"/>
    <w:qFormat/>
    <w:uiPriority w:val="39"/>
  </w:style>
  <w:style w:type="paragraph" w:styleId="8">
    <w:name w:val="Body Text 2"/>
    <w:basedOn w:val="1"/>
    <w:qFormat/>
    <w:uiPriority w:val="0"/>
    <w:rPr>
      <w:b/>
      <w:szCs w:val="20"/>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rPr>
  </w:style>
  <w:style w:type="character" w:styleId="13">
    <w:name w:val="page number"/>
    <w:basedOn w:val="11"/>
    <w:qFormat/>
    <w:uiPriority w:val="0"/>
  </w:style>
  <w:style w:type="character" w:styleId="14">
    <w:name w:val="Hyperlink"/>
    <w:qFormat/>
    <w:uiPriority w:val="99"/>
    <w:rPr>
      <w:color w:val="333333"/>
      <w:u w:val="none"/>
    </w:rPr>
  </w:style>
  <w:style w:type="paragraph" w:customStyle="1" w:styleId="15">
    <w:name w:val="正文段"/>
    <w:basedOn w:val="1"/>
    <w:qFormat/>
    <w:uiPriority w:val="0"/>
    <w:pPr>
      <w:widowControl/>
      <w:snapToGrid w:val="0"/>
      <w:spacing w:afterLines="50"/>
      <w:ind w:firstLine="200" w:firstLineChars="200"/>
    </w:pPr>
    <w:rPr>
      <w:kern w:val="0"/>
      <w:sz w:val="24"/>
      <w:szCs w:val="20"/>
    </w:rPr>
  </w:style>
  <w:style w:type="paragraph" w:styleId="16">
    <w:name w:val="List Paragraph"/>
    <w:basedOn w:val="1"/>
    <w:qFormat/>
    <w:uiPriority w:val="34"/>
    <w:pPr>
      <w:widowControl/>
      <w:ind w:firstLine="420" w:firstLineChars="200"/>
      <w:jc w:val="left"/>
    </w:pPr>
    <w:rPr>
      <w:rFonts w:ascii="宋体" w:hAnsi="宋体" w:cs="宋体"/>
      <w:kern w:val="0"/>
      <w:sz w:val="24"/>
    </w:rPr>
  </w:style>
  <w:style w:type="paragraph" w:customStyle="1" w:styleId="17">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8">
    <w:name w:val="样式1"/>
    <w:basedOn w:val="2"/>
    <w:qFormat/>
    <w:uiPriority w:val="0"/>
    <w:pPr>
      <w:tabs>
        <w:tab w:val="left" w:pos="-839"/>
      </w:tabs>
      <w:spacing w:before="0" w:after="0" w:line="360" w:lineRule="auto"/>
      <w:ind w:left="1320" w:hanging="1320"/>
    </w:pPr>
    <w:rPr>
      <w:bCs w:val="0"/>
      <w:sz w:val="2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29</Pages>
  <Words>2818</Words>
  <Characters>16064</Characters>
  <Lines>133</Lines>
  <Paragraphs>37</Paragraphs>
  <TotalTime>13</TotalTime>
  <ScaleCrop>false</ScaleCrop>
  <LinksUpToDate>false</LinksUpToDate>
  <CharactersWithSpaces>18845</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2021-09-11T12:27:00Z</dcterms:created>
  <dc:creator>86159</dc:creator>
  <cp:lastModifiedBy>Huzhou</cp:lastModifiedBy>
  <dcterms:modified xsi:type="dcterms:W3CDTF">2022-09-22T14:39:25Z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A821D362A5214819B419D51CF116BD07</vt:lpwstr>
  </property>
</Properties>
</file>