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4"/>
          <w:szCs w:val="24"/>
          <w:lang w:eastAsia="zh-CN"/>
        </w:rPr>
      </w:pPr>
      <w:bookmarkStart w:id="0" w:name="_Toc511739395"/>
    </w:p>
    <w:p>
      <w:pPr>
        <w:rPr>
          <w:rFonts w:hint="eastAsia" w:asciiTheme="minorEastAsia" w:hAnsiTheme="minorEastAsia" w:eastAsiaTheme="minorEastAsia" w:cstheme="minorEastAsia"/>
          <w:sz w:val="24"/>
          <w:szCs w:val="24"/>
          <w:lang w:eastAsia="zh-CN"/>
        </w:rPr>
      </w:pPr>
    </w:p>
    <w:p>
      <w:pPr>
        <w:pStyle w:val="2"/>
        <w:spacing w:before="0" w:after="0"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中共湖州市委党校电梯维保</w:t>
      </w:r>
      <w:bookmarkEnd w:id="0"/>
      <w:r>
        <w:rPr>
          <w:rFonts w:hint="eastAsia" w:asciiTheme="minorEastAsia" w:hAnsiTheme="minorEastAsia" w:eastAsiaTheme="minorEastAsia" w:cstheme="minorEastAsia"/>
          <w:sz w:val="32"/>
          <w:szCs w:val="32"/>
          <w:lang w:eastAsia="zh-CN"/>
        </w:rPr>
        <w:t>需求</w:t>
      </w:r>
    </w:p>
    <w:p>
      <w:pPr>
        <w:spacing w:line="400" w:lineRule="exact"/>
        <w:ind w:firstLine="480" w:firstLineChars="200"/>
        <w:jc w:val="left"/>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eastAsia="zh-CN"/>
        </w:rPr>
        <w:t>维保范围</w:t>
      </w:r>
    </w:p>
    <w:tbl>
      <w:tblPr>
        <w:tblStyle w:val="10"/>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59"/>
        <w:gridCol w:w="2729"/>
        <w:gridCol w:w="890"/>
        <w:gridCol w:w="793"/>
        <w:gridCol w:w="122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91" w:type="dxa"/>
            <w:vAlign w:val="center"/>
          </w:tcPr>
          <w:p>
            <w:pPr>
              <w:adjustRightInd w:val="0"/>
              <w:snapToGrid w:val="0"/>
              <w:jc w:val="center"/>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highlight w:val="none"/>
              </w:rPr>
              <w:t>序号</w:t>
            </w:r>
          </w:p>
        </w:tc>
        <w:tc>
          <w:tcPr>
            <w:tcW w:w="1159"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电梯</w:t>
            </w:r>
          </w:p>
          <w:p>
            <w:pPr>
              <w:adjustRightInd w:val="0"/>
              <w:snapToGrid w:val="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品牌</w:t>
            </w:r>
          </w:p>
        </w:tc>
        <w:tc>
          <w:tcPr>
            <w:tcW w:w="2729"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型号及规格</w:t>
            </w:r>
          </w:p>
        </w:tc>
        <w:tc>
          <w:tcPr>
            <w:tcW w:w="890"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电梯</w:t>
            </w:r>
          </w:p>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性质</w:t>
            </w:r>
          </w:p>
        </w:tc>
        <w:tc>
          <w:tcPr>
            <w:tcW w:w="793"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w:t>
            </w:r>
          </w:p>
        </w:tc>
        <w:tc>
          <w:tcPr>
            <w:tcW w:w="1221" w:type="dxa"/>
            <w:vAlign w:val="center"/>
          </w:tcPr>
          <w:p>
            <w:pPr>
              <w:adjustRightInd w:val="0"/>
              <w:snapToGrid w:val="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保养期限</w:t>
            </w:r>
          </w:p>
        </w:tc>
        <w:tc>
          <w:tcPr>
            <w:tcW w:w="1215" w:type="dxa"/>
            <w:vAlign w:val="center"/>
          </w:tcPr>
          <w:p>
            <w:pPr>
              <w:adjustRightInd w:val="0"/>
              <w:snapToGrid w:val="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91" w:type="dxa"/>
            <w:vAlign w:val="center"/>
          </w:tcPr>
          <w:p>
            <w:pPr>
              <w:adjustRightInd w:val="0"/>
              <w:snapToGrid w:val="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w:t>
            </w:r>
          </w:p>
        </w:tc>
        <w:tc>
          <w:tcPr>
            <w:tcW w:w="1159"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日立</w:t>
            </w:r>
          </w:p>
        </w:tc>
        <w:tc>
          <w:tcPr>
            <w:tcW w:w="2729"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额定速度/载重/层站数</w:t>
            </w:r>
          </w:p>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7</w:t>
            </w:r>
          </w:p>
        </w:tc>
        <w:tc>
          <w:tcPr>
            <w:tcW w:w="890"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乘客电梯</w:t>
            </w:r>
          </w:p>
        </w:tc>
        <w:tc>
          <w:tcPr>
            <w:tcW w:w="793"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221" w:type="dxa"/>
            <w:vAlign w:val="center"/>
          </w:tcPr>
          <w:p>
            <w:pPr>
              <w:adjustRightInd w:val="0"/>
              <w:snapToGrid w:val="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24个月</w:t>
            </w:r>
          </w:p>
        </w:tc>
        <w:tc>
          <w:tcPr>
            <w:tcW w:w="1215" w:type="dxa"/>
            <w:vAlign w:val="center"/>
          </w:tcPr>
          <w:p>
            <w:pPr>
              <w:adjustRightInd w:val="0"/>
              <w:snapToGrid w:val="0"/>
              <w:jc w:val="center"/>
              <w:rPr>
                <w:rFonts w:hint="default"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91" w:type="dxa"/>
            <w:vAlign w:val="center"/>
          </w:tcPr>
          <w:p>
            <w:pPr>
              <w:adjustRightInd w:val="0"/>
              <w:snapToGrid w:val="0"/>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w:t>
            </w:r>
          </w:p>
        </w:tc>
        <w:tc>
          <w:tcPr>
            <w:tcW w:w="1159"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日立</w:t>
            </w:r>
          </w:p>
        </w:tc>
        <w:tc>
          <w:tcPr>
            <w:tcW w:w="2729"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额定速度/载重/层站数</w:t>
            </w:r>
          </w:p>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7</w:t>
            </w:r>
          </w:p>
        </w:tc>
        <w:tc>
          <w:tcPr>
            <w:tcW w:w="890"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乘客电梯</w:t>
            </w:r>
          </w:p>
        </w:tc>
        <w:tc>
          <w:tcPr>
            <w:tcW w:w="793"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221"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24个月</w:t>
            </w:r>
          </w:p>
        </w:tc>
        <w:tc>
          <w:tcPr>
            <w:tcW w:w="1215"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91"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3</w:t>
            </w:r>
          </w:p>
        </w:tc>
        <w:tc>
          <w:tcPr>
            <w:tcW w:w="1159"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日立</w:t>
            </w:r>
          </w:p>
        </w:tc>
        <w:tc>
          <w:tcPr>
            <w:tcW w:w="2729"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额定速度/载重/层站数</w:t>
            </w:r>
          </w:p>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5</w:t>
            </w:r>
          </w:p>
        </w:tc>
        <w:tc>
          <w:tcPr>
            <w:tcW w:w="890"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乘客电梯</w:t>
            </w:r>
          </w:p>
        </w:tc>
        <w:tc>
          <w:tcPr>
            <w:tcW w:w="793"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221"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24个月</w:t>
            </w:r>
          </w:p>
        </w:tc>
        <w:tc>
          <w:tcPr>
            <w:tcW w:w="1215"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91"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4</w:t>
            </w:r>
          </w:p>
        </w:tc>
        <w:tc>
          <w:tcPr>
            <w:tcW w:w="1159"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日立</w:t>
            </w:r>
          </w:p>
        </w:tc>
        <w:tc>
          <w:tcPr>
            <w:tcW w:w="2729"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额定速度/载重/层站数</w:t>
            </w:r>
          </w:p>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1.0/10</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US" w:eastAsia="zh-CN"/>
              </w:rPr>
              <w:t>2</w:t>
            </w:r>
          </w:p>
        </w:tc>
        <w:tc>
          <w:tcPr>
            <w:tcW w:w="890"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乘客电梯</w:t>
            </w:r>
          </w:p>
        </w:tc>
        <w:tc>
          <w:tcPr>
            <w:tcW w:w="793"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221"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24个月</w:t>
            </w:r>
          </w:p>
        </w:tc>
        <w:tc>
          <w:tcPr>
            <w:tcW w:w="1215"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91" w:type="dxa"/>
            <w:vAlign w:val="center"/>
          </w:tcPr>
          <w:p>
            <w:pPr>
              <w:adjustRightInd w:val="0"/>
              <w:snapToGrid w:val="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c>
          <w:tcPr>
            <w:tcW w:w="1159"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沃克斯</w:t>
            </w:r>
          </w:p>
        </w:tc>
        <w:tc>
          <w:tcPr>
            <w:tcW w:w="2729"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额定速度/载重/层站数</w:t>
            </w:r>
          </w:p>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0.4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00/2</w:t>
            </w:r>
          </w:p>
        </w:tc>
        <w:tc>
          <w:tcPr>
            <w:tcW w:w="890"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杂物梯</w:t>
            </w:r>
          </w:p>
        </w:tc>
        <w:tc>
          <w:tcPr>
            <w:tcW w:w="793" w:type="dxa"/>
            <w:vAlign w:val="center"/>
          </w:tcPr>
          <w:p>
            <w:pPr>
              <w:adjustRightInd w:val="0"/>
              <w:snapToGrid w:val="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221"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24个月</w:t>
            </w:r>
          </w:p>
        </w:tc>
        <w:tc>
          <w:tcPr>
            <w:tcW w:w="1215"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91" w:type="dxa"/>
            <w:vAlign w:val="center"/>
          </w:tcPr>
          <w:p>
            <w:pPr>
              <w:adjustRightInd w:val="0"/>
              <w:snapToGrid w:val="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1159"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沃克斯</w:t>
            </w:r>
          </w:p>
        </w:tc>
        <w:tc>
          <w:tcPr>
            <w:tcW w:w="2729"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额定速度/载重/层站数</w:t>
            </w:r>
          </w:p>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0.4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00/2</w:t>
            </w:r>
          </w:p>
        </w:tc>
        <w:tc>
          <w:tcPr>
            <w:tcW w:w="890"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杂</w:t>
            </w:r>
            <w:r>
              <w:rPr>
                <w:rFonts w:hint="eastAsia" w:asciiTheme="minorEastAsia" w:hAnsiTheme="minorEastAsia" w:eastAsiaTheme="minorEastAsia" w:cstheme="minorEastAsia"/>
                <w:sz w:val="24"/>
                <w:szCs w:val="24"/>
                <w:highlight w:val="none"/>
                <w:lang w:val="en-US" w:eastAsia="zh-CN"/>
              </w:rPr>
              <w:t>物梯</w:t>
            </w:r>
          </w:p>
        </w:tc>
        <w:tc>
          <w:tcPr>
            <w:tcW w:w="793" w:type="dxa"/>
            <w:vAlign w:val="center"/>
          </w:tcPr>
          <w:p>
            <w:pPr>
              <w:adjustRightInd w:val="0"/>
              <w:snapToGrid w:val="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221" w:type="dxa"/>
            <w:vAlign w:val="center"/>
          </w:tcPr>
          <w:p>
            <w:pPr>
              <w:adjustRightInd w:val="0"/>
              <w:snapToGri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24个月</w:t>
            </w:r>
          </w:p>
        </w:tc>
        <w:tc>
          <w:tcPr>
            <w:tcW w:w="1215" w:type="dxa"/>
            <w:vAlign w:val="center"/>
          </w:tcPr>
          <w:p>
            <w:pPr>
              <w:adjustRightInd w:val="0"/>
              <w:snapToGrid w:val="0"/>
              <w:jc w:val="center"/>
              <w:rPr>
                <w:rFonts w:hint="eastAsia" w:asciiTheme="minorEastAsia" w:hAnsiTheme="minorEastAsia" w:eastAsiaTheme="minorEastAsia" w:cstheme="minorEastAsia"/>
                <w:sz w:val="24"/>
                <w:szCs w:val="24"/>
                <w:highlight w:val="none"/>
                <w:lang w:val="en-US" w:eastAsia="zh-CN"/>
              </w:rPr>
            </w:pPr>
          </w:p>
        </w:tc>
      </w:tr>
    </w:tbl>
    <w:p>
      <w:pPr>
        <w:keepNext w:val="0"/>
        <w:keepLines w:val="0"/>
        <w:pageBreakBefore w:val="0"/>
        <w:kinsoku/>
        <w:wordWrap/>
        <w:overflowPunct/>
        <w:topLinePunct w:val="0"/>
        <w:autoSpaceDE/>
        <w:autoSpaceDN/>
        <w:bidi w:val="0"/>
        <w:adjustRightInd/>
        <w:snapToGrid/>
        <w:spacing w:line="440" w:lineRule="exact"/>
        <w:ind w:firstLine="481" w:firstLineChars="200"/>
        <w:jc w:val="left"/>
        <w:textAlignment w:val="auto"/>
        <w:outlineLvl w:val="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二、维保时间</w:t>
      </w:r>
    </w:p>
    <w:p>
      <w:pPr>
        <w:keepNext w:val="0"/>
        <w:keepLines w:val="0"/>
        <w:pageBreakBefore w:val="0"/>
        <w:kinsoku/>
        <w:wordWrap/>
        <w:overflowPunct/>
        <w:topLinePunct w:val="0"/>
        <w:autoSpaceDE/>
        <w:autoSpaceDN/>
        <w:bidi w:val="0"/>
        <w:adjustRightInd/>
        <w:snapToGrid/>
        <w:spacing w:line="440" w:lineRule="exact"/>
        <w:ind w:firstLine="481" w:firstLineChars="200"/>
        <w:jc w:val="left"/>
        <w:textAlignment w:val="auto"/>
        <w:outlineLvl w:val="0"/>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u w:val="single"/>
          <w:lang w:val="en-US" w:eastAsia="zh-CN"/>
        </w:rPr>
        <w:t>2022</w:t>
      </w:r>
      <w:r>
        <w:rPr>
          <w:rFonts w:hint="eastAsia" w:asciiTheme="minorEastAsia" w:hAnsiTheme="minorEastAsia" w:eastAsiaTheme="minorEastAsia" w:cstheme="minorEastAsia"/>
          <w:b/>
          <w:bCs/>
          <w:sz w:val="24"/>
          <w:szCs w:val="24"/>
          <w:lang w:val="en-US" w:eastAsia="zh-CN"/>
        </w:rPr>
        <w:t>年</w:t>
      </w:r>
      <w:r>
        <w:rPr>
          <w:rFonts w:hint="eastAsia" w:asciiTheme="minorEastAsia" w:hAnsiTheme="minorEastAsia" w:eastAsiaTheme="minorEastAsia" w:cstheme="minorEastAsia"/>
          <w:b/>
          <w:bCs/>
          <w:sz w:val="24"/>
          <w:szCs w:val="24"/>
          <w:u w:val="single"/>
          <w:lang w:val="en-US" w:eastAsia="zh-CN"/>
        </w:rPr>
        <w:t>10</w:t>
      </w:r>
      <w:r>
        <w:rPr>
          <w:rFonts w:hint="eastAsia" w:asciiTheme="minorEastAsia" w:hAnsiTheme="minorEastAsia" w:eastAsiaTheme="minorEastAsia" w:cstheme="minorEastAsia"/>
          <w:b/>
          <w:bCs/>
          <w:sz w:val="24"/>
          <w:szCs w:val="24"/>
          <w:lang w:val="en-US" w:eastAsia="zh-CN"/>
        </w:rPr>
        <w:t>月</w:t>
      </w:r>
      <w:r>
        <w:rPr>
          <w:rFonts w:hint="eastAsia" w:asciiTheme="minorEastAsia" w:hAnsiTheme="minorEastAsia" w:eastAsiaTheme="minorEastAsia" w:cstheme="minorEastAsia"/>
          <w:b/>
          <w:bCs/>
          <w:sz w:val="24"/>
          <w:szCs w:val="24"/>
          <w:u w:val="single"/>
          <w:lang w:val="en-US" w:eastAsia="zh-CN"/>
        </w:rPr>
        <w:t>20</w:t>
      </w:r>
      <w:r>
        <w:rPr>
          <w:rFonts w:hint="eastAsia" w:asciiTheme="minorEastAsia" w:hAnsiTheme="minorEastAsia" w:eastAsiaTheme="minorEastAsia" w:cstheme="minorEastAsia"/>
          <w:b/>
          <w:bCs/>
          <w:sz w:val="24"/>
          <w:szCs w:val="24"/>
          <w:lang w:val="en-US" w:eastAsia="zh-CN"/>
        </w:rPr>
        <w:t>日至</w:t>
      </w:r>
      <w:r>
        <w:rPr>
          <w:rFonts w:hint="eastAsia" w:asciiTheme="minorEastAsia" w:hAnsiTheme="minorEastAsia" w:eastAsiaTheme="minorEastAsia" w:cstheme="minorEastAsia"/>
          <w:b/>
          <w:bCs/>
          <w:sz w:val="24"/>
          <w:szCs w:val="24"/>
          <w:u w:val="single"/>
          <w:lang w:val="en-US" w:eastAsia="zh-CN"/>
        </w:rPr>
        <w:t>2024</w:t>
      </w:r>
      <w:r>
        <w:rPr>
          <w:rFonts w:hint="eastAsia" w:asciiTheme="minorEastAsia" w:hAnsiTheme="minorEastAsia" w:eastAsiaTheme="minorEastAsia" w:cstheme="minorEastAsia"/>
          <w:b/>
          <w:bCs/>
          <w:sz w:val="24"/>
          <w:szCs w:val="24"/>
          <w:lang w:val="en-US" w:eastAsia="zh-CN"/>
        </w:rPr>
        <w:t>年</w:t>
      </w:r>
      <w:r>
        <w:rPr>
          <w:rFonts w:hint="eastAsia" w:asciiTheme="minorEastAsia" w:hAnsiTheme="minorEastAsia" w:eastAsiaTheme="minorEastAsia" w:cstheme="minorEastAsia"/>
          <w:b/>
          <w:bCs/>
          <w:sz w:val="24"/>
          <w:szCs w:val="24"/>
          <w:u w:val="single"/>
          <w:lang w:val="en-US" w:eastAsia="zh-CN"/>
        </w:rPr>
        <w:t>10</w:t>
      </w:r>
      <w:r>
        <w:rPr>
          <w:rFonts w:hint="eastAsia" w:asciiTheme="minorEastAsia" w:hAnsiTheme="minorEastAsia" w:eastAsiaTheme="minorEastAsia" w:cstheme="minorEastAsia"/>
          <w:b/>
          <w:bCs/>
          <w:sz w:val="24"/>
          <w:szCs w:val="24"/>
          <w:lang w:val="en-US" w:eastAsia="zh-CN"/>
        </w:rPr>
        <w:t>月</w:t>
      </w:r>
      <w:r>
        <w:rPr>
          <w:rFonts w:hint="eastAsia" w:asciiTheme="minorEastAsia" w:hAnsiTheme="minorEastAsia" w:eastAsiaTheme="minorEastAsia" w:cstheme="minorEastAsia"/>
          <w:b/>
          <w:bCs/>
          <w:sz w:val="24"/>
          <w:szCs w:val="24"/>
          <w:u w:val="single"/>
          <w:lang w:val="en-US" w:eastAsia="zh-CN"/>
        </w:rPr>
        <w:t>19</w:t>
      </w:r>
      <w:r>
        <w:rPr>
          <w:rFonts w:hint="eastAsia" w:asciiTheme="minorEastAsia" w:hAnsiTheme="minorEastAsia" w:eastAsiaTheme="minorEastAsia" w:cstheme="minorEastAsia"/>
          <w:b/>
          <w:bCs/>
          <w:sz w:val="24"/>
          <w:szCs w:val="24"/>
          <w:lang w:val="en-US" w:eastAsia="zh-CN"/>
        </w:rPr>
        <w:t>日</w:t>
      </w:r>
    </w:p>
    <w:p>
      <w:pPr>
        <w:keepNext w:val="0"/>
        <w:keepLines w:val="0"/>
        <w:pageBreakBefore w:val="0"/>
        <w:kinsoku/>
        <w:wordWrap/>
        <w:overflowPunct/>
        <w:topLinePunct w:val="0"/>
        <w:autoSpaceDE/>
        <w:autoSpaceDN/>
        <w:bidi w:val="0"/>
        <w:adjustRightInd/>
        <w:snapToGrid/>
        <w:spacing w:line="440" w:lineRule="exact"/>
        <w:ind w:firstLine="481" w:firstLineChars="200"/>
        <w:jc w:val="lef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、服务要求：</w:t>
      </w:r>
    </w:p>
    <w:p>
      <w:pPr>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1、电梯维修保养要符合《特种设备安全法》、《特种设备安全监察条例》、《中华人民共和国电梯制造与安装安全规范》（GB7588-2003）、《电梯维修规范》（GB/T18775-2002）、《电梯监督检验和定</w:t>
      </w:r>
      <w:bookmarkStart w:id="1" w:name="_GoBack"/>
      <w:bookmarkEnd w:id="1"/>
      <w:r>
        <w:rPr>
          <w:rFonts w:hint="eastAsia" w:asciiTheme="minorEastAsia" w:hAnsiTheme="minorEastAsia" w:eastAsiaTheme="minorEastAsia" w:cstheme="minorEastAsia"/>
          <w:kern w:val="0"/>
          <w:sz w:val="24"/>
          <w:szCs w:val="24"/>
        </w:rPr>
        <w:t>期检验规则》（TSG T7001-2009</w:t>
      </w:r>
      <w:r>
        <w:rPr>
          <w:rFonts w:hint="eastAsia" w:asciiTheme="minorEastAsia" w:hAnsiTheme="minorEastAsia" w:eastAsiaTheme="minorEastAsia" w:cstheme="minorEastAsia"/>
          <w:kern w:val="0"/>
          <w:sz w:val="24"/>
          <w:szCs w:val="24"/>
          <w:lang w:eastAsia="zh-CN"/>
        </w:rPr>
        <w:t>）、《电梯维护保养规则》（</w:t>
      </w:r>
      <w:r>
        <w:rPr>
          <w:rFonts w:hint="eastAsia" w:asciiTheme="minorEastAsia" w:hAnsiTheme="minorEastAsia" w:eastAsiaTheme="minorEastAsia" w:cstheme="minorEastAsia"/>
          <w:kern w:val="0"/>
          <w:sz w:val="24"/>
          <w:szCs w:val="24"/>
          <w:lang w:val="en-US" w:eastAsia="zh-CN"/>
        </w:rPr>
        <w:t>TSG T5002-2017)</w:t>
      </w:r>
      <w:r>
        <w:rPr>
          <w:rFonts w:hint="eastAsia" w:asciiTheme="minorEastAsia" w:hAnsiTheme="minorEastAsia" w:eastAsiaTheme="minorEastAsia" w:cstheme="minorEastAsia"/>
          <w:kern w:val="0"/>
          <w:sz w:val="24"/>
          <w:szCs w:val="24"/>
        </w:rPr>
        <w:t>等有关标准规定，按招标单位要求和投标单位承诺执行。</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2、通过有计划的检修、保养，保证电梯各部件在良性循环状态下运转，延长各部件的工作寿命，及时更换已磨损的零部件以预防故障的发生，保证所招标电梯正常安全顺畅运行。</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3、通过有计划的维修、保养，及时向招标方提供电梯的安全隐患和保证电梯安全运行的合理建议和措施。</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4、提供的更换设备、器件须是原厂相同品牌的设备、器件。</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sz w:val="24"/>
          <w:szCs w:val="24"/>
          <w:highlight w:val="none"/>
        </w:rPr>
        <w:t>5、维保时间频次要求：一年内半月维保服务24次；季度维保服务4次；半年维保服务2次；年度维保服务1次</w:t>
      </w: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b w:val="0"/>
          <w:bCs/>
          <w:sz w:val="24"/>
          <w:szCs w:val="24"/>
          <w:highlight w:val="none"/>
        </w:rPr>
        <w:t>对电梯实行全年365天、全天24小时监管，发现问题及时处理，接到故障通知，60分钟内到达现场进行处理，若电梯内有人员被困，必须保证在30分钟内将人员救出。对每部电梯的保养周期不得大于15天/次，而且保养内容与《日常维护保养记录》的要求相符。</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6、备有足够配件，保证一般故障4小时内修复，重大技术问题不超过24小时。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7、负责日常保养，零部件损坏属于正常损耗的由招标人负责，属于保养不当的由维保单位负责，更换零部件不收取维修技术服务人工费。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8、配合完成招标人电梯的年检申报及取证工作。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val="0"/>
          <w:bCs/>
          <w:sz w:val="24"/>
          <w:szCs w:val="24"/>
          <w:highlight w:val="none"/>
        </w:rPr>
        <w:t>9、各项维保工作需登记工作日志以备查阅。</w:t>
      </w:r>
      <w:r>
        <w:rPr>
          <w:rFonts w:hint="eastAsia" w:asciiTheme="minorEastAsia" w:hAnsiTheme="minorEastAsia" w:eastAsiaTheme="minorEastAsia" w:cstheme="minorEastAsia"/>
          <w:b/>
          <w:sz w:val="24"/>
          <w:szCs w:val="24"/>
          <w:highlight w:val="none"/>
        </w:rPr>
        <w:t> </w:t>
      </w:r>
    </w:p>
    <w:p>
      <w:pPr>
        <w:keepNext w:val="0"/>
        <w:keepLines w:val="0"/>
        <w:pageBreakBefore w:val="0"/>
        <w:kinsoku/>
        <w:wordWrap/>
        <w:overflowPunct/>
        <w:topLinePunct w:val="0"/>
        <w:autoSpaceDE/>
        <w:autoSpaceDN/>
        <w:bidi w:val="0"/>
        <w:adjustRightInd/>
        <w:snapToGrid/>
        <w:spacing w:line="440" w:lineRule="exact"/>
        <w:ind w:firstLine="481" w:firstLineChars="200"/>
        <w:jc w:val="left"/>
        <w:textAlignment w:val="auto"/>
        <w:outlineLvl w:val="0"/>
        <w:rPr>
          <w:rFonts w:hint="eastAsia" w:asciiTheme="minorEastAsia" w:hAnsiTheme="minorEastAsia" w:eastAsiaTheme="minorEastAsia" w:cstheme="minorEastAsia"/>
          <w:b/>
          <w:bCs/>
          <w:sz w:val="24"/>
          <w:szCs w:val="24"/>
          <w:lang w:eastAsia="zh-CN"/>
        </w:rPr>
      </w:pPr>
    </w:p>
    <w:p>
      <w:pPr>
        <w:keepNext w:val="0"/>
        <w:keepLines w:val="0"/>
        <w:pageBreakBefore w:val="0"/>
        <w:kinsoku/>
        <w:wordWrap/>
        <w:overflowPunct/>
        <w:topLinePunct w:val="0"/>
        <w:autoSpaceDE/>
        <w:autoSpaceDN/>
        <w:bidi w:val="0"/>
        <w:adjustRightInd/>
        <w:snapToGrid/>
        <w:spacing w:line="440" w:lineRule="exact"/>
        <w:ind w:firstLine="481" w:firstLineChars="200"/>
        <w:jc w:val="lef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、电梯日常维保要求：</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1、投标人应按照本合同约定、有关安全技术规范、电梯产品安装使用维护说明书等要求，制定维保方案，定期开展维保服务，确保招标人电梯正常安全运行。</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2、投标人应设立24小时维保值班电话，保证接到故障通知后及时予以排除，接到电梯困人故障报告后，维修人员及时抵达所维保电梯所在地实施现场救援，直辖市或者设区的市抵达时间不超过</w:t>
      </w:r>
      <w:r>
        <w:rPr>
          <w:rFonts w:hint="eastAsia" w:asciiTheme="minorEastAsia" w:hAnsiTheme="minorEastAsia" w:eastAsiaTheme="minorEastAsia" w:cstheme="minorEastAsia"/>
          <w:sz w:val="24"/>
          <w:szCs w:val="24"/>
          <w:u w:val="single"/>
          <w:lang w:val="en-US" w:eastAsia="zh-CN"/>
        </w:rPr>
        <w:t>30分钟</w:t>
      </w:r>
      <w:r>
        <w:rPr>
          <w:rFonts w:hint="eastAsia" w:asciiTheme="minorEastAsia" w:hAnsiTheme="minorEastAsia" w:eastAsiaTheme="minorEastAsia" w:cstheme="minorEastAsia"/>
          <w:sz w:val="24"/>
          <w:szCs w:val="24"/>
        </w:rPr>
        <w:t>排除故障。</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3、投标人应建立每部电梯的维保记录，并向招标人反馈维修保养结果。</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4、在维保过程中，如果通过维保或者自行检查，发现电梯仅依靠合同规定的维保已经不能保证安全运行，需要改造、维修或者更换零部件、更新电梯时，应当向招标人书面提出；发现事故隐患及时告知招标人。</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5、投标人工作人员进入招标人工作区域，应严格遵守招标人的有关规章制度。</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6、现场作业人员应当具备电梯维修保养的相应资质、经验和技能。</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7、投标人自行配备工作所需的工具及设备，作业时应设置现场安全警示标志，做好现场其他安全防护措施，保证作业安全，现场作业人员必须是本企业在职职工并购买社会保险。</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8、未经招标人同意，投标人不得将本合同下的服务分包给任何第三方。</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9、合同终止后，投标人应向招标人或招标人指定的第三方进行必要的交接和协助。</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10、应当妥善保管招标人提供的电梯图纸及相关资料，在合同终止后交给招标人，并向招标人及新的维修方做好其他必要的交接和协助工作。</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11、投标人作业人员在作业过程中因操作不当发生财产人身等损害或造成甲方及第三人财产人身损害的，应由投标人负责。</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投标人积极配合招标人通过年检；负责完成年检中发生的属本合同范围内的整改工作。因投标人原因导致电梯不合格的，由投标人整改完成，并承担复检费用；非因投标人原因导致电梯年检不合格的，招标人承担整改费用及复检费用。</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13、招标人若需进行电梯改造、装修等非常规维保范围内的项目，投标人须经招标人确认后方可进行施工，由此产生的费用以联系单方式另计。</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bCs/>
          <w:sz w:val="24"/>
          <w:szCs w:val="24"/>
        </w:rPr>
        <w:t>随时听取招标单位的反馈，对不正常的运行状况，做认真分析及纠正。</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15、在维保过程中，如果通过维保或者自行检查，发现电梯仅依靠合同规定的维保已经不能保证安全运行，应当向招标人书面提出，并提供相关建议供。发现事故隐患及时告知招标人。</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16、在合同期内，维保方如有违反招标文件、投标文件、合同中的其它规定、承诺时，招标单位将提出书面警告，当书面警告累计达到三次以上时</w:t>
      </w: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rPr>
        <w:t>招标单位有权提前解除合同，并视情节扣罚相应服务费</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每次不少于500元人民币</w:t>
      </w:r>
      <w:r>
        <w:rPr>
          <w:rFonts w:hint="eastAsia" w:asciiTheme="minorEastAsia" w:hAnsiTheme="minorEastAsia" w:eastAsiaTheme="minorEastAsia" w:cstheme="minor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17、</w:t>
      </w:r>
      <w:r>
        <w:rPr>
          <w:rFonts w:hint="eastAsia" w:asciiTheme="minorEastAsia" w:hAnsiTheme="minorEastAsia" w:eastAsiaTheme="minorEastAsia" w:cstheme="minorEastAsia"/>
          <w:sz w:val="24"/>
          <w:szCs w:val="24"/>
        </w:rPr>
        <w:t>投标人人员在作业过程中因操作不当发生财产人身等损害或造成甲方及第三人财产人身损害的，应由投标人负责。</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4"/>
          <w:szCs w:val="24"/>
        </w:rPr>
      </w:pPr>
    </w:p>
    <w:p>
      <w:pPr>
        <w:pStyle w:val="2"/>
        <w:pageBreakBefore w:val="0"/>
        <w:widowControl w:val="0"/>
        <w:kinsoku/>
        <w:wordWrap/>
        <w:overflowPunct/>
        <w:topLinePunct w:val="0"/>
        <w:autoSpaceDE/>
        <w:autoSpaceDN/>
        <w:bidi w:val="0"/>
        <w:adjustRightInd/>
        <w:snapToGrid/>
        <w:spacing w:before="0" w:after="0" w:line="600" w:lineRule="exac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中共湖州市委党校</w:t>
      </w:r>
    </w:p>
    <w:p>
      <w:pPr>
        <w:pStyle w:val="2"/>
        <w:pageBreakBefore w:val="0"/>
        <w:widowControl w:val="0"/>
        <w:kinsoku/>
        <w:wordWrap/>
        <w:overflowPunct/>
        <w:topLinePunct w:val="0"/>
        <w:autoSpaceDE/>
        <w:autoSpaceDN/>
        <w:bidi w:val="0"/>
        <w:adjustRightInd/>
        <w:snapToGrid/>
        <w:spacing w:before="0" w:after="0" w:line="600" w:lineRule="exact"/>
        <w:jc w:val="right"/>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2022年9月22日</w:t>
      </w:r>
    </w:p>
    <w:sectPr>
      <w:footerReference r:id="rId3" w:type="default"/>
      <w:footerReference r:id="rId4" w:type="even"/>
      <w:pgSz w:w="11906" w:h="16838"/>
      <w:pgMar w:top="1588" w:right="1588" w:bottom="1246" w:left="158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fldChar w:fldCharType="begin"/>
    </w:r>
    <w:r>
      <w:instrText xml:space="preserve"> PAGE   \* MERGEFORMAT </w:instrText>
    </w:r>
    <w:r>
      <w:fldChar w:fldCharType="separate"/>
    </w:r>
    <w:r>
      <w:rPr>
        <w:lang w:val="zh-CN"/>
      </w:rPr>
      <w:t>28</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59"/>
    <w:rsid w:val="003E1E02"/>
    <w:rsid w:val="003F2886"/>
    <w:rsid w:val="00417659"/>
    <w:rsid w:val="004F14D5"/>
    <w:rsid w:val="006A3816"/>
    <w:rsid w:val="006C7B33"/>
    <w:rsid w:val="007D0005"/>
    <w:rsid w:val="00A232A7"/>
    <w:rsid w:val="00BF57EF"/>
    <w:rsid w:val="04097CC3"/>
    <w:rsid w:val="0B091304"/>
    <w:rsid w:val="0B5479AA"/>
    <w:rsid w:val="15CB344F"/>
    <w:rsid w:val="16B31FA5"/>
    <w:rsid w:val="17B25F68"/>
    <w:rsid w:val="17CC3FF9"/>
    <w:rsid w:val="180C06C2"/>
    <w:rsid w:val="1B3F2D9C"/>
    <w:rsid w:val="20A76F5E"/>
    <w:rsid w:val="2AA62CA3"/>
    <w:rsid w:val="2F1366F6"/>
    <w:rsid w:val="2FB1586A"/>
    <w:rsid w:val="30A329B8"/>
    <w:rsid w:val="30C62ACA"/>
    <w:rsid w:val="34AB2C48"/>
    <w:rsid w:val="34AD17C9"/>
    <w:rsid w:val="38E52F22"/>
    <w:rsid w:val="38F03385"/>
    <w:rsid w:val="398F6673"/>
    <w:rsid w:val="3E14E4DD"/>
    <w:rsid w:val="4D957505"/>
    <w:rsid w:val="4F013059"/>
    <w:rsid w:val="583727A6"/>
    <w:rsid w:val="5D2923B0"/>
    <w:rsid w:val="5DA30241"/>
    <w:rsid w:val="5FFB99E4"/>
    <w:rsid w:val="65531950"/>
    <w:rsid w:val="685124BA"/>
    <w:rsid w:val="688F08CA"/>
    <w:rsid w:val="692818BB"/>
    <w:rsid w:val="699C4E6B"/>
    <w:rsid w:val="6FAB20F8"/>
    <w:rsid w:val="73176FC5"/>
    <w:rsid w:val="734A08F0"/>
    <w:rsid w:val="739F0D72"/>
    <w:rsid w:val="765D6AFA"/>
    <w:rsid w:val="77A35199"/>
    <w:rsid w:val="78534EA0"/>
    <w:rsid w:val="7DF5355A"/>
    <w:rsid w:val="7E934F28"/>
    <w:rsid w:val="7E963649"/>
    <w:rsid w:val="7EE5AFCC"/>
    <w:rsid w:val="7F7FF889"/>
    <w:rsid w:val="9FC5185D"/>
    <w:rsid w:val="EF774642"/>
    <w:rsid w:val="EFFFDF93"/>
    <w:rsid w:val="FEFF70AC"/>
    <w:rsid w:val="FFF4A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2"/>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200" w:lineRule="exact"/>
      <w:ind w:firstLine="301"/>
    </w:pPr>
    <w:rPr>
      <w:rFonts w:ascii="宋体" w:hAnsi="Courier New"/>
      <w:spacing w:val="-4"/>
      <w:sz w:val="18"/>
      <w:szCs w:val="20"/>
    </w:rPr>
  </w:style>
  <w:style w:type="paragraph" w:styleId="4">
    <w:name w:val="Plain Text"/>
    <w:basedOn w:val="1"/>
    <w:next w:val="1"/>
    <w:qFormat/>
    <w:uiPriority w:val="0"/>
    <w:pPr>
      <w:spacing w:beforeLines="50" w:afterLines="50" w:line="400" w:lineRule="exact"/>
    </w:pPr>
    <w:rPr>
      <w:rFonts w:ascii="宋体" w:hAnsi="Courier New"/>
      <w:sz w:val="24"/>
    </w:rPr>
  </w:style>
  <w:style w:type="paragraph" w:styleId="5">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7">
    <w:name w:val="toc 1"/>
    <w:basedOn w:val="1"/>
    <w:next w:val="1"/>
    <w:qFormat/>
    <w:uiPriority w:val="39"/>
  </w:style>
  <w:style w:type="paragraph" w:styleId="8">
    <w:name w:val="Body Text 2"/>
    <w:basedOn w:val="1"/>
    <w:qFormat/>
    <w:uiPriority w:val="0"/>
    <w:rPr>
      <w:b/>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qFormat/>
    <w:uiPriority w:val="99"/>
    <w:rPr>
      <w:color w:val="333333"/>
      <w:u w:val="none"/>
    </w:rPr>
  </w:style>
  <w:style w:type="paragraph" w:customStyle="1" w:styleId="15">
    <w:name w:val="正文段"/>
    <w:basedOn w:val="1"/>
    <w:qFormat/>
    <w:uiPriority w:val="0"/>
    <w:pPr>
      <w:widowControl/>
      <w:snapToGrid w:val="0"/>
      <w:spacing w:afterLines="50"/>
      <w:ind w:firstLine="200" w:firstLineChars="200"/>
    </w:pPr>
    <w:rPr>
      <w:kern w:val="0"/>
      <w:sz w:val="24"/>
      <w:szCs w:val="20"/>
    </w:rPr>
  </w:style>
  <w:style w:type="paragraph" w:styleId="16">
    <w:name w:val="List Paragraph"/>
    <w:basedOn w:val="1"/>
    <w:qFormat/>
    <w:uiPriority w:val="34"/>
    <w:pPr>
      <w:widowControl/>
      <w:ind w:firstLine="420" w:firstLineChars="200"/>
      <w:jc w:val="left"/>
    </w:pPr>
    <w:rPr>
      <w:rFonts w:ascii="宋体" w:hAnsi="宋体" w:cs="宋体"/>
      <w:kern w:val="0"/>
      <w:sz w:val="24"/>
    </w:rPr>
  </w:style>
  <w:style w:type="paragraph" w:customStyle="1" w:styleId="1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
    <w:name w:val="样式1"/>
    <w:basedOn w:val="2"/>
    <w:qFormat/>
    <w:uiPriority w:val="0"/>
    <w:pPr>
      <w:tabs>
        <w:tab w:val="left" w:pos="-839"/>
      </w:tabs>
      <w:spacing w:before="0" w:after="0" w:line="360" w:lineRule="auto"/>
      <w:ind w:left="1320" w:hanging="1320"/>
    </w:pPr>
    <w:rPr>
      <w:bCs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2818</Words>
  <Characters>16064</Characters>
  <Lines>133</Lines>
  <Paragraphs>37</Paragraphs>
  <TotalTime>13</TotalTime>
  <ScaleCrop>false</ScaleCrop>
  <LinksUpToDate>false</LinksUpToDate>
  <CharactersWithSpaces>18845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2021-09-11T12:27:00Z</dcterms:created>
  <dc:creator>86159</dc:creator>
  <cp:lastModifiedBy>Huzhou</cp:lastModifiedBy>
  <dcterms:modified xsi:type="dcterms:W3CDTF">2022-09-22T14:39:25Z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A821D362A5214819B419D51CF116BD07</vt:lpwstr>
  </property>
</Properties>
</file>